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C" w:rsidRDefault="00644A7C" w:rsidP="00644A7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44A7C" w:rsidRPr="00644A7C" w:rsidRDefault="00644A7C" w:rsidP="00644A7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A7C" w:rsidRDefault="00644A7C" w:rsidP="00644A7C">
      <w:pPr>
        <w:pStyle w:val="ConsPlusTitle"/>
        <w:jc w:val="center"/>
      </w:pPr>
      <w:r>
        <w:t>ПОРЯДОК</w:t>
      </w:r>
    </w:p>
    <w:p w:rsidR="00644A7C" w:rsidRDefault="00644A7C" w:rsidP="00644A7C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644A7C" w:rsidRDefault="00644A7C" w:rsidP="00644A7C">
      <w:pPr>
        <w:pStyle w:val="ConsPlusTitle"/>
        <w:jc w:val="center"/>
      </w:pPr>
      <w:r>
        <w:t>ЛЕНИНГРАДСКОЙ ОБЛАСТИ СУБСИДИИ НЕКОММЕРЧЕСКИМ ОРГАНИЗАЦИЯМ,</w:t>
      </w:r>
    </w:p>
    <w:p w:rsidR="00644A7C" w:rsidRDefault="00644A7C" w:rsidP="00644A7C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644A7C" w:rsidRDefault="00644A7C" w:rsidP="00644A7C">
      <w:pPr>
        <w:pStyle w:val="ConsPlusTitle"/>
        <w:jc w:val="center"/>
      </w:pPr>
      <w:r>
        <w:t>УЧРЕЖДЕНИЯМИ, НА ФИНАНСОВОЕ ОБЕСПЕЧЕНИЕ ЗАТРАТ В СВЯЗИ</w:t>
      </w:r>
    </w:p>
    <w:p w:rsidR="00644A7C" w:rsidRDefault="00644A7C" w:rsidP="00644A7C">
      <w:pPr>
        <w:pStyle w:val="ConsPlusTitle"/>
        <w:jc w:val="center"/>
      </w:pPr>
      <w:r>
        <w:t>С ОКАЗАНИЕМ УСЛУГ ПО ОРГАНИЗАЦИИ МУЗЫКАЛЬНЫХ, ТЕАТРАЛЬНЫХ</w:t>
      </w:r>
    </w:p>
    <w:p w:rsidR="00644A7C" w:rsidRDefault="00644A7C" w:rsidP="00644A7C">
      <w:pPr>
        <w:pStyle w:val="ConsPlusTitle"/>
        <w:jc w:val="center"/>
      </w:pPr>
      <w:r>
        <w:t>И КИНОФЕСТИВАЛЕЙ, ПРОВОДИМЫХ НА ТЕРРИТОРИИ ЛЕНИНГРАДСКОЙ</w:t>
      </w:r>
    </w:p>
    <w:p w:rsidR="00644A7C" w:rsidRDefault="00644A7C" w:rsidP="00644A7C">
      <w:pPr>
        <w:pStyle w:val="ConsPlusTitle"/>
        <w:jc w:val="center"/>
      </w:pPr>
      <w:r>
        <w:t>ОБЛАСТИ, ОРГАНИЗАЦИЮ МЕРОПРИЯТИЙ ДОБРОВОЛЬЧЕСКИХ ДВИЖЕНИЙ</w:t>
      </w:r>
    </w:p>
    <w:p w:rsidR="00644A7C" w:rsidRDefault="00644A7C" w:rsidP="00644A7C">
      <w:pPr>
        <w:pStyle w:val="ConsPlusTitle"/>
        <w:jc w:val="center"/>
      </w:pPr>
      <w:r>
        <w:t>В СФЕРЕ СОХРАНЕНИЯ ОБЪЕКТОВ КУЛЬТУРНОГО НАСЛЕДИЯ В РАМКАХ</w:t>
      </w:r>
    </w:p>
    <w:p w:rsidR="00644A7C" w:rsidRDefault="00644A7C" w:rsidP="00644A7C">
      <w:pPr>
        <w:pStyle w:val="ConsPlusTitle"/>
        <w:jc w:val="center"/>
      </w:pPr>
      <w:r>
        <w:t>ГОСУДАРСТВЕННОЙ ПРОГРАММЫ ЛЕНИНГРАДСКОЙ ОБЛАСТИ "РАЗВИТИЕ</w:t>
      </w:r>
    </w:p>
    <w:p w:rsidR="00644A7C" w:rsidRDefault="00644A7C" w:rsidP="00644A7C">
      <w:pPr>
        <w:pStyle w:val="ConsPlusTitle"/>
        <w:jc w:val="center"/>
      </w:pPr>
      <w:r>
        <w:t>КУЛЬТУРЫ И ТУРИЗМА В ЛЕНИНГРАДСКОЙ ОБЛАСТИ"</w:t>
      </w:r>
    </w:p>
    <w:p w:rsidR="00644A7C" w:rsidRDefault="00644A7C" w:rsidP="00644A7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4A7C" w:rsidTr="00644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Правительства Ленинградской области</w:t>
            </w:r>
            <w:proofErr w:type="gramEnd"/>
          </w:p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от 06.12.2019 N 577)</w:t>
            </w:r>
          </w:p>
        </w:tc>
      </w:tr>
    </w:tbl>
    <w:p w:rsidR="00644A7C" w:rsidRDefault="00644A7C" w:rsidP="00644A7C">
      <w:pPr>
        <w:pStyle w:val="ConsPlusNormal"/>
        <w:jc w:val="center"/>
      </w:pPr>
    </w:p>
    <w:p w:rsidR="00644A7C" w:rsidRDefault="00644A7C" w:rsidP="00644A7C">
      <w:pPr>
        <w:pStyle w:val="ConsPlusTitle"/>
        <w:jc w:val="center"/>
        <w:outlineLvl w:val="2"/>
      </w:pPr>
      <w:r>
        <w:t>1. Общие положения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порядок определения объема и предоставления из областного бюджета Ленинградской области (далее - областной бюджет) субсидии некоммерческим организациям, не являющимся государственными (муниципальными) учреждениями (далее - некоммерческие организации),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 в рамках подпрограммы "Профессиональное искусство, народное творчество и культурно-досуговая деятельность" государственной программы Ленинградской</w:t>
      </w:r>
      <w:proofErr w:type="gramEnd"/>
      <w:r>
        <w:t xml:space="preserve"> </w:t>
      </w:r>
      <w:proofErr w:type="gramStart"/>
      <w:r>
        <w:t xml:space="preserve">области "Развитие культуры и туризма в Ленинградской области", включенных в календарный план работы Правительства Ленинградской области в соответствии с </w:t>
      </w:r>
      <w:hyperlink r:id="rId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Ленинградской области от 29 декабря 2005 года N 341 "О Регламенте Правительства Ленинградской области", а также по организации мероприятий добровольческих движений в сфере сохранения объектов культурного наследия в рамках подпрограммы "Сохранение и охрана культурного и исторического наследия Ленинградской области</w:t>
      </w:r>
      <w:proofErr w:type="gramEnd"/>
      <w:r>
        <w:t>" государственной программы Ленинградской области "Развитие культуры и туризма в Ленинградской области" (далее - субсидии).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bookmarkStart w:id="1" w:name="P6779"/>
      <w:bookmarkEnd w:id="1"/>
      <w:r>
        <w:t>1.2. Субсидии предоставляются в целях организации мероприятий добровольческих движений в сфере сохранения объектов культурного наследия (далее - мероприятия), а также в целях проведения музыкальных, театральных и кинофестивалей на территории Ленинградской области в рамках федерального проекта "Творческие люди" (далее - фестивали).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1.3. Главным распорядителем средств субсидий является комитет по культуре Ленинградской области (далее - комитет).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1.4. В настоящем Порядке применяются следующие основные понятия: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конкурсный отбор - отбор некоммерческих организаций для предоставления субсидий, осуществляемый экспертным советом в соответствии с настоящим Порядком;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экспертный совет - коллегиальный орган, образованный для проведения конкурсного отбора, формируемый комитетом из числа лиц, замещающих должности государственной гражданской службы в комитете.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lastRenderedPageBreak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Title"/>
        <w:jc w:val="center"/>
        <w:outlineLvl w:val="2"/>
      </w:pPr>
      <w:r>
        <w:t>2. Категории и критерии отбора получателей субсидий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bookmarkStart w:id="2" w:name="P6788"/>
      <w:bookmarkEnd w:id="2"/>
      <w:r>
        <w:t>2.1. К категории получателей субсидий относятся некоммерческие организации, зарегистрированные в качестве юридического лица в порядке, установленном законодательством Российской Федерации.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2.2. Отбор получателей субсидий проводится в рамках конкурсного отбора исходя из следующих критериев: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bookmarkStart w:id="3" w:name="P6790"/>
      <w:bookmarkEnd w:id="3"/>
      <w:r>
        <w:t xml:space="preserve">1) соответствие проекта в сфере оказания услуг по организации фестивалей и мероприятий (далее - проект), на реализацию которого запрашивается субсидия, целям, указанным в </w:t>
      </w:r>
      <w:hyperlink r:id="rId7" w:anchor="P6779" w:history="1">
        <w:r>
          <w:rPr>
            <w:rStyle w:val="a3"/>
            <w:u w:val="none"/>
          </w:rPr>
          <w:t>пункте 1.2</w:t>
        </w:r>
      </w:hyperlink>
      <w:r>
        <w:t xml:space="preserve"> настоящего Порядка;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bookmarkStart w:id="4" w:name="P6791"/>
      <w:bookmarkEnd w:id="4"/>
      <w:r>
        <w:t>2) соответствие проекта, на реализацию которого запрашивается субсидия, уставным целям некоммерческой организации;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3) количество реализованных проектов за последние пять лет;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4) количество зрителей и участников, вовлеченных в реализованные проекты, за последние пять лет;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5)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6) наличие наград, премий и благодарностей некоммерческой организации по итогам организованных фестивалей и мероприятий.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Title"/>
        <w:jc w:val="center"/>
        <w:outlineLvl w:val="2"/>
      </w:pPr>
      <w:r>
        <w:t>3. Условия предоставления субсидий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bookmarkStart w:id="5" w:name="P6799"/>
      <w:bookmarkEnd w:id="5"/>
      <w:r>
        <w:t xml:space="preserve">3.1. Условиями предоставления субсидий являются: соответствие получателя субсидии требованиям, предусмотренным </w:t>
      </w:r>
      <w:hyperlink r:id="rId8" w:anchor="P6801" w:history="1">
        <w:r>
          <w:rPr>
            <w:rStyle w:val="a3"/>
            <w:u w:val="none"/>
          </w:rPr>
          <w:t>пунктом 3.3</w:t>
        </w:r>
      </w:hyperlink>
      <w:r>
        <w:t xml:space="preserve"> настоящего Порядка; своевременное представление документов, предусмотренных </w:t>
      </w:r>
      <w:hyperlink r:id="rId9" w:anchor="P6809" w:history="1">
        <w:r>
          <w:rPr>
            <w:rStyle w:val="a3"/>
            <w:u w:val="none"/>
          </w:rPr>
          <w:t>пунктом 3.4</w:t>
        </w:r>
      </w:hyperlink>
      <w:r>
        <w:t xml:space="preserve"> настоящего Порядка; заключение между получателем субсидии и комитетом соглашения о предоставлении субсидии в соответствии с типовой формой, утвержденной правовым актом Комитета финансов Ленинградской области (далее - соглашение), в срок, установленный </w:t>
      </w:r>
      <w:hyperlink r:id="rId10" w:anchor="P6873" w:history="1">
        <w:r>
          <w:rPr>
            <w:rStyle w:val="a3"/>
            <w:u w:val="none"/>
          </w:rPr>
          <w:t>пунктом 5.1</w:t>
        </w:r>
      </w:hyperlink>
      <w:r>
        <w:t xml:space="preserve"> настоящего Порядка, </w:t>
      </w:r>
      <w:proofErr w:type="gramStart"/>
      <w:r>
        <w:t>предусматривающего</w:t>
      </w:r>
      <w:proofErr w:type="gramEnd"/>
      <w:r>
        <w:t xml:space="preserve"> в том числе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3.2. Субсидия предоставляется на основании правового акта комитета, утверждающего победителя конкурсного отбора и размер предоставляемой ему субсидии, принятого по результатам конкурсного отбора.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bookmarkStart w:id="6" w:name="P6801"/>
      <w:bookmarkEnd w:id="6"/>
      <w:r>
        <w:t>3.3. Получатель субсидии на 1-е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у получателя субсидии отсутствует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</w:t>
      </w:r>
      <w:r>
        <w:lastRenderedPageBreak/>
        <w:t>правовыми актами, и иная просроченная задолженность перед областным бюджетом;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 или ликвидации; в отношении получателя субсидии не введена процедура банкротства; деятельность получателя субсидии не приостановлена в порядке, предусмотренном законодательством Российской Федерации;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получатель субсидии отсутствует в реестре недобросовестных поставщиков;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получатель субсидии не получает средства из областного бюджета на основании иных нормативных правовых актов на цели, указанные в </w:t>
      </w:r>
      <w:hyperlink r:id="rId11" w:anchor="P6779" w:history="1">
        <w:r>
          <w:rPr>
            <w:rStyle w:val="a3"/>
            <w:u w:val="none"/>
          </w:rPr>
          <w:t>пункте 1.2</w:t>
        </w:r>
      </w:hyperlink>
      <w:r>
        <w:t xml:space="preserve"> настоящего Порядка;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получатель субсидии не имеет задолженности перед работниками по заработной плате.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bookmarkStart w:id="7" w:name="P6809"/>
      <w:bookmarkEnd w:id="7"/>
      <w:r>
        <w:t>3.4. В целях получения субсидии некоммерческая организация представляет в комитет заявку на предоставление субсидии (далее - заявка) по форме, утвержденной правовым актом комитета. Заявка подписывается руководителем и главным бухгалтером, заверяется печатью некоммерческой организации.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заявке</w:t>
      </w:r>
      <w:proofErr w:type="gramEnd"/>
      <w:r>
        <w:t xml:space="preserve"> в том числе указываются: планируемая программа конкретного фестиваля или мероприятия; планируемая смета конкретного фестиваля или мероприятия; объем привлеченных средств из внебюджетных источников.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К заявке прилагаются следующие документы (копии заверяются подписью лица, действующего без доверенности от имени некоммерческой организации, и печатью некоммерческой организации):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1) документы, подтверждающие полномочия представителя юридического лица (при подаче заявки представителем юридического лица);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2) копия свидетельства о государственной регистрации некоммерческой организации;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3) копия свидетельства о постановке некоммерческой организации на налоговый учет;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4) копия устава некоммерческой организации;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5) справка об отсутствии задолженности перед работниками по заработной плате, подписанная руководителем и главным бухгалтером, заверенная печатью (при наличии) некоммерческой организации;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6) копии документов, подтверждающих опыт проведения фестивалей или мероприятий, в том числе грамоты, благодарности, акты приемки оказанных услуг, публикации в средствах массовой информации и т.д. (при наличии).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3.5. Комитет самостоятельно запрашивает у уполномоченных органов справку об отсутствии неисполненной обязанности по уплате налогов и сборов, страховых взносов, пеней, штрафов, </w:t>
      </w:r>
      <w:r>
        <w:lastRenderedPageBreak/>
        <w:t>подлежащих уплате в соответствии с законодательством Российской Федерации, по состоянию на 1-е число месяца, в котором установлена дата начала приема заявок.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3.6. Основаниями для отказа в предоставлении субсидии являются: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условиям, установленным </w:t>
      </w:r>
      <w:hyperlink r:id="rId12" w:anchor="P6799" w:history="1">
        <w:r>
          <w:rPr>
            <w:rStyle w:val="a3"/>
            <w:u w:val="none"/>
          </w:rPr>
          <w:t>пунктом 3.1</w:t>
        </w:r>
      </w:hyperlink>
      <w:r>
        <w:t xml:space="preserve"> настоящего Порядка;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2) несоответствие получателя субсидии требованиям, установленным </w:t>
      </w:r>
      <w:hyperlink r:id="rId13" w:anchor="P6801" w:history="1">
        <w:r>
          <w:rPr>
            <w:rStyle w:val="a3"/>
            <w:u w:val="none"/>
          </w:rPr>
          <w:t>пунктом 3.3</w:t>
        </w:r>
      </w:hyperlink>
      <w:r>
        <w:t xml:space="preserve"> настоящего Порядка;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получателем субсидии документов требованиям, установленным </w:t>
      </w:r>
      <w:hyperlink r:id="rId14" w:anchor="P6801" w:history="1">
        <w:r>
          <w:rPr>
            <w:rStyle w:val="a3"/>
            <w:u w:val="none"/>
          </w:rPr>
          <w:t>пунктом 3.3</w:t>
        </w:r>
      </w:hyperlink>
      <w:r>
        <w:t xml:space="preserve"> настоящего Порядка; непредставление (представление не в полном объеме) указанных документов; нарушение срока представления документов, указанного в объявлении о проведении конкурсного отбора согласно </w:t>
      </w:r>
      <w:hyperlink r:id="rId15" w:anchor="P6830" w:history="1">
        <w:r>
          <w:rPr>
            <w:rStyle w:val="a3"/>
            <w:u w:val="none"/>
          </w:rPr>
          <w:t>пункту 4.1</w:t>
        </w:r>
      </w:hyperlink>
      <w:r>
        <w:t xml:space="preserve"> настоящего Порядка;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4) недостоверность информации, содержащейся в представленных документах;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5) несоответствие некоммерческой организации категории получателей субсидии, предусмотренной </w:t>
      </w:r>
      <w:hyperlink r:id="rId16" w:anchor="P6788" w:history="1">
        <w:r>
          <w:rPr>
            <w:rStyle w:val="a3"/>
            <w:u w:val="none"/>
          </w:rPr>
          <w:t>пунктом 2.1</w:t>
        </w:r>
      </w:hyperlink>
      <w:r>
        <w:t xml:space="preserve"> настоящего Порядка, и критериям отбора получателей субсидии, указанным в </w:t>
      </w:r>
      <w:hyperlink r:id="rId17" w:anchor="P6790" w:history="1">
        <w:r>
          <w:rPr>
            <w:rStyle w:val="a3"/>
            <w:u w:val="none"/>
          </w:rPr>
          <w:t>подпунктах 1</w:t>
        </w:r>
      </w:hyperlink>
      <w:r>
        <w:t xml:space="preserve"> и </w:t>
      </w:r>
      <w:hyperlink r:id="rId18" w:anchor="P6791" w:history="1">
        <w:r>
          <w:rPr>
            <w:rStyle w:val="a3"/>
            <w:u w:val="none"/>
          </w:rPr>
          <w:t>2 пункта 2.2</w:t>
        </w:r>
      </w:hyperlink>
      <w:r>
        <w:t xml:space="preserve"> настоящего Порядка.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В случае отказа в предоставлении субсидии комитет уведомляет некоммерческую организацию о принятом решении в письменном виде с указанием причин отказа в срок не позднее 15 рабочих дней со дня окончания приема заявок.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Title"/>
        <w:jc w:val="center"/>
        <w:outlineLvl w:val="2"/>
      </w:pPr>
      <w:r>
        <w:t>4. Порядок проведения конкурсного отбора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bookmarkStart w:id="8" w:name="P6830"/>
      <w:bookmarkEnd w:id="8"/>
      <w:r>
        <w:t xml:space="preserve">4.1. Решение о проведении конкурсного отбора принимается комитетом и утверждается правовым актом комитета. Информация о проведении конкурсного отбора, в том числе наименование фестиваля (фестивалей) </w:t>
      </w:r>
      <w:proofErr w:type="gramStart"/>
      <w:r>
        <w:t>и(</w:t>
      </w:r>
      <w:proofErr w:type="gramEnd"/>
      <w:r>
        <w:t>или) мероприятия (мероприятий), сроки и место проведения, технические требования, сроки приема документов на участие в конкурсном отборе, дата проведения заседания экспертного совета, размещается на официальном сайте комитета в информационно-телекоммуникационной сети "Интернет" (http://culture.lenobl.ru) не позднее чем за семь календарных дней до даты начала подачи заявок. Период подачи заявок должен составлять не менее 20 календарных дней.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4.2. Порядок работы и персональный состав экспертного совета утверждаются нормативным правовым актом комитета.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4.3. Рассмотрение заявок и прилагаемых к ним документов осуществляется членами экспертного совета в два этапа: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proofErr w:type="gramStart"/>
      <w:r>
        <w:t xml:space="preserve">1) на первом этапе конкурсного отбора осуществляется проверка заявок и некоммерческой организации на предмет соответствия требованиям, установленным </w:t>
      </w:r>
      <w:hyperlink r:id="rId19" w:anchor="P6801" w:history="1">
        <w:r>
          <w:rPr>
            <w:rStyle w:val="a3"/>
            <w:u w:val="none"/>
          </w:rPr>
          <w:t>пунктом 3.3</w:t>
        </w:r>
      </w:hyperlink>
      <w:r>
        <w:t xml:space="preserve"> настоящего Порядка; наличия документов, указанных в </w:t>
      </w:r>
      <w:hyperlink r:id="rId20" w:anchor="P6809" w:history="1">
        <w:r>
          <w:rPr>
            <w:rStyle w:val="a3"/>
            <w:u w:val="none"/>
          </w:rPr>
          <w:t>пункте 3.4</w:t>
        </w:r>
      </w:hyperlink>
      <w:r>
        <w:t xml:space="preserve"> настоящего Порядка, а также на предмет соответствия категории получателей субсидии, указанной в </w:t>
      </w:r>
      <w:hyperlink r:id="rId21" w:anchor="P6788" w:history="1">
        <w:r>
          <w:rPr>
            <w:rStyle w:val="a3"/>
            <w:u w:val="none"/>
          </w:rPr>
          <w:t>пункте 2.1</w:t>
        </w:r>
      </w:hyperlink>
      <w:r>
        <w:t xml:space="preserve"> настоящего Порядка, и критериям отбора получателей субсидии, предусмотренным </w:t>
      </w:r>
      <w:hyperlink r:id="rId22" w:anchor="P6790" w:history="1">
        <w:r>
          <w:rPr>
            <w:rStyle w:val="a3"/>
            <w:u w:val="none"/>
          </w:rPr>
          <w:t>подпунктами 1</w:t>
        </w:r>
      </w:hyperlink>
      <w:r>
        <w:t xml:space="preserve"> и </w:t>
      </w:r>
      <w:hyperlink r:id="rId23" w:anchor="P6791" w:history="1">
        <w:r>
          <w:rPr>
            <w:rStyle w:val="a3"/>
            <w:u w:val="none"/>
          </w:rPr>
          <w:t>2 пункта 2.2</w:t>
        </w:r>
      </w:hyperlink>
      <w:r>
        <w:t xml:space="preserve"> настоящего Порядка;</w:t>
      </w:r>
      <w:proofErr w:type="gramEnd"/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2) на втором этапе конкурсного отбора осуществляется рассмотрение заявок и прилагаемых к ним документов, прошедших первый этап конкурсного отбора, в соответствии с критериями, указанными в </w:t>
      </w:r>
      <w:hyperlink r:id="rId24" w:anchor="P6836" w:history="1">
        <w:r>
          <w:rPr>
            <w:rStyle w:val="a3"/>
            <w:u w:val="none"/>
          </w:rPr>
          <w:t>пункте 4.4</w:t>
        </w:r>
      </w:hyperlink>
      <w:r>
        <w:t xml:space="preserve"> настоящего Порядка.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По итогам второго этапа конкурсного отбора производится подсчет баллов. Участник конкурсного отбора, получивший наибольшее количество баллов, получает более высокий </w:t>
      </w:r>
      <w:r>
        <w:lastRenderedPageBreak/>
        <w:t>рейтинговый номер (наименьший порядковый номер) и становится победителем конкурсного отбора.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bookmarkStart w:id="9" w:name="P6836"/>
      <w:bookmarkEnd w:id="9"/>
      <w:r>
        <w:t>4.4. Представленные заявки (проекты) оцениваются в баллах по следующим критериям:</w:t>
      </w:r>
    </w:p>
    <w:p w:rsidR="00644A7C" w:rsidRDefault="00644A7C" w:rsidP="00644A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89"/>
        <w:gridCol w:w="3572"/>
      </w:tblGrid>
      <w:tr w:rsidR="00644A7C" w:rsidTr="00644A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644A7C" w:rsidTr="00644A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реализованных проектов в сфере оказания услуг по организации фестивалей и мероприятий за последние пять лет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проектов - 0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 проектов - 10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5 проектов - 20 баллов</w:t>
            </w:r>
          </w:p>
        </w:tc>
      </w:tr>
      <w:tr w:rsidR="00644A7C" w:rsidTr="00644A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зрителей и участников, вовлеченных в реализованные проекты в сфере оказания услуг по организации фестивалей и мероприятий, за последние пять лет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 - 0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1-100 человек - 10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101-500 человек - 20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501-1000 человек - 30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1000 человек - 40 баллов</w:t>
            </w:r>
          </w:p>
        </w:tc>
      </w:tr>
      <w:tr w:rsidR="00644A7C" w:rsidTr="00644A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участия некоммерческой организации </w:t>
            </w:r>
            <w:proofErr w:type="gramStart"/>
            <w:r>
              <w:rPr>
                <w:lang w:eastAsia="en-US"/>
              </w:rPr>
              <w:t>в финансировании мероприятия за счет привлеченных внебюджетных средств по отношению к сумме запрашиваемых средств из областного бюджета</w:t>
            </w:r>
            <w:proofErr w:type="gramEnd"/>
            <w:r>
              <w:rPr>
                <w:lang w:eastAsia="en-US"/>
              </w:rPr>
              <w:t xml:space="preserve"> (в проц.)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 или более 20 проц. - 30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20 проц. - 0 баллов</w:t>
            </w:r>
          </w:p>
        </w:tc>
      </w:tr>
      <w:tr w:rsidR="00644A7C" w:rsidTr="00644A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наград, премий и благодарностей некоммерческой организации по итогам организованных фестивалей и мероприятий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наград - 0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 наград - 5 баллов;</w:t>
            </w:r>
          </w:p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5 наград - 10 баллов</w:t>
            </w:r>
          </w:p>
        </w:tc>
      </w:tr>
    </w:tbl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r>
        <w:t xml:space="preserve">Под привлеченными средствами в настоящем Порядке понимается вклад некоммерческой </w:t>
      </w:r>
      <w:proofErr w:type="gramStart"/>
      <w:r>
        <w:t>организации</w:t>
      </w:r>
      <w:proofErr w:type="gramEnd"/>
      <w:r>
        <w:t xml:space="preserve"> как в денежной, так и в </w:t>
      </w:r>
      <w:proofErr w:type="spellStart"/>
      <w:r>
        <w:t>неденежной</w:t>
      </w:r>
      <w:proofErr w:type="spellEnd"/>
      <w:r>
        <w:t xml:space="preserve"> форме. В </w:t>
      </w:r>
      <w:proofErr w:type="spellStart"/>
      <w:r>
        <w:t>неденежной</w:t>
      </w:r>
      <w:proofErr w:type="spellEnd"/>
      <w:r>
        <w:t xml:space="preserve"> форме в качестве </w:t>
      </w:r>
      <w:proofErr w:type="spellStart"/>
      <w:r>
        <w:t>софинансирования</w:t>
      </w:r>
      <w:proofErr w:type="spellEnd"/>
      <w:r>
        <w:t xml:space="preserve"> могут быть </w:t>
      </w:r>
      <w:proofErr w:type="gramStart"/>
      <w:r>
        <w:t>заявлены</w:t>
      </w:r>
      <w:proofErr w:type="gramEnd"/>
      <w:r>
        <w:t>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безвозмездно полученные услуги (по рыночным ценам);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труд добровольцев (исходя из средней заработной платы в Ленинградской области, деленной на количество рабочих часов в месяце и умноженной на количество часов, в течение которых добровольцы оказывали услуги, и на количество таких добровольцев);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безвозмездно полученные имущественные права (исходя из рыночных цен на аренду соответствующей недвижимости);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используемое оборудование (в размере месячной величины износа, рассчитанного по правилам бухгалтерского учета, умноженной на количество месяцев, когда соответствующее оборудование использовалось в целях реализации фестивалей или мероприятий).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4.5. Результаты рассмотрения экспертным советом заявок и прилагаемых к ним документов в течение пяти календарных дней со дня окончания приема заявок оформляются протоколом о результатах проведения конкурсного отбора, в котором указываются некоммерческие организации, подавшие заявки, некоммерческие организации, допущенные к конкурсному отбору, а также победитель конкурсного отбора.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lastRenderedPageBreak/>
        <w:t>4.6. В течение 10 рабочих дней со дня окончания приема заявок комитет издает правовой акт с указанием победителя конкурсного отбора и размера предоставляемой ему субсидии. В течение трех рабочих дней после издания правового акта комитет размещает информацию о результатах конкурсного отбора на официальном сайте комитета в информационно-телекоммуникационной сети "Интернет" и посредством электронной почты уведомляет победителя конкурсного отбора о необходимости заключения соглашения.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Title"/>
        <w:jc w:val="center"/>
        <w:outlineLvl w:val="2"/>
      </w:pPr>
      <w:r>
        <w:t>5. Порядок предоставления субсидии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bookmarkStart w:id="10" w:name="P6873"/>
      <w:bookmarkEnd w:id="10"/>
      <w:r>
        <w:t>5.1. Соглашение с победителем конкурсного отбора заключается комитетом в течение 10 рабочих дней со дня принятия правового акта комитета, утверждающего победителя конкурсного отбора и размер предоставляемой ему субсидии.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5.2. Размер субсидии (С) определяется по формуле: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jc w:val="center"/>
      </w:pPr>
      <w:r>
        <w:t>С = ЗС - ДС,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r>
        <w:t>где: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ЗС - плановый общий объем затрат в связи с оказанием услуг по организации фестиваля с заявкой получателя субсидии;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ДС - размер привлеченных средств из внебюджетных источников для проведения фестиваля.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r>
        <w:t>Размер субсидии не может превышать размера бюджетных ассигнований, предусмотренных на указанные цели в областном бюджете на текущий финансовый год.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5.3.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5.4. Субсидия перечисляется единовременно в течение 10 рабочих дней со дня заключения соглашения.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bookmarkStart w:id="11" w:name="P6885"/>
      <w:bookmarkEnd w:id="11"/>
      <w:r>
        <w:t>5.5. Результатом предоставления субсидии являются проведенные на территории Ленинградской области фестивали или мероприятия.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bookmarkStart w:id="12" w:name="P6886"/>
      <w:bookmarkEnd w:id="12"/>
      <w:r>
        <w:t>5.6. Показателями, необходимыми для достижения результатов предоставления субсидии, являются: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1) количество участников фестиваля (фестивалей) </w:t>
      </w:r>
      <w:proofErr w:type="gramStart"/>
      <w:r>
        <w:t>и(</w:t>
      </w:r>
      <w:proofErr w:type="gramEnd"/>
      <w:r>
        <w:t>или) мероприятия (мероприятий);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2) количество зрителей фестиваля (фестивалей) </w:t>
      </w:r>
      <w:proofErr w:type="gramStart"/>
      <w:r>
        <w:t>и(</w:t>
      </w:r>
      <w:proofErr w:type="gramEnd"/>
      <w:r>
        <w:t>или) мероприятия (мероприятий);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3) количество публикаций о проекте в средствах массовой информации и социальных сетях.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5.7. Средства субсидий могут быть использованы на следующие виды расходов: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на оплату труда персонала, привлекаемого для организации фестиваля или мероприятия;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на оплату услуг (работ) организаций, индивидуальных исполнителей - физических лиц, привлекаемых для организации фестиваля или мероприятия;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на оплату аренды помещения, сценического оборудования;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lastRenderedPageBreak/>
        <w:t>на обеспечение доставки имущества коллективов, артистов, музыкантов;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на оплату налогов и иных сборов, установленных законодательством Российской Федерации;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на приобретение расходных материалов, иных товаров, работ, услуг, необходимых для проведения фестиваля или мероприятия;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на проезд, проживание, питание участников фестиваля или мероприятия.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5.8. Получатель субсидии обязуется обеспечить возврат неиспользованных средств субсидии в областной бюджет.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Title"/>
        <w:jc w:val="center"/>
        <w:outlineLvl w:val="2"/>
      </w:pPr>
      <w:r>
        <w:t>6. Требования к отчетности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r>
        <w:t xml:space="preserve">6.1. Получатель субсидии ежеквартально не позднее 5-го числа месяца, следующего за отчетным периодом, представляет в комитет </w:t>
      </w:r>
      <w:hyperlink r:id="rId25" w:anchor="P6927" w:history="1">
        <w:r>
          <w:rPr>
            <w:rStyle w:val="a3"/>
            <w:u w:val="none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результатов предоставления субсидии, установленных </w:t>
      </w:r>
      <w:hyperlink r:id="rId26" w:anchor="P6885" w:history="1">
        <w:r>
          <w:rPr>
            <w:rStyle w:val="a3"/>
            <w:u w:val="none"/>
          </w:rPr>
          <w:t>пунктами 5.5</w:t>
        </w:r>
      </w:hyperlink>
      <w:r>
        <w:t xml:space="preserve"> и </w:t>
      </w:r>
      <w:hyperlink r:id="rId27" w:anchor="P6886" w:history="1">
        <w:r>
          <w:rPr>
            <w:rStyle w:val="a3"/>
            <w:u w:val="none"/>
          </w:rPr>
          <w:t>5.6</w:t>
        </w:r>
      </w:hyperlink>
      <w:r>
        <w:t xml:space="preserve"> настоящего Порядка, по форме согласно приложению к настоящему Порядку.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6.2. Комитет вправе устанавливать в соглашении сроки и формы представления получателем субсидии дополнительной отчетности.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6.3. Контроль за соблюдением получателями субсидий условий, целей и порядка предоставления субсидии, установленных настоящим Порядком и соглашением, осуществляется комитетом и органом государственного финансового контроля Ленинградской области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субсидии результата предоставления субсидии и показателей, необходимых для достижения результатов предоставления субсидии, установленных </w:t>
      </w:r>
      <w:hyperlink r:id="rId28" w:anchor="P6885" w:history="1">
        <w:r>
          <w:rPr>
            <w:rStyle w:val="a3"/>
            <w:u w:val="none"/>
          </w:rPr>
          <w:t>пунктами 5.5</w:t>
        </w:r>
      </w:hyperlink>
      <w:r>
        <w:t xml:space="preserve"> и </w:t>
      </w:r>
      <w:hyperlink r:id="rId29" w:anchor="P6886" w:history="1">
        <w:r>
          <w:rPr>
            <w:rStyle w:val="a3"/>
            <w:u w:val="none"/>
          </w:rPr>
          <w:t>5.6</w:t>
        </w:r>
      </w:hyperlink>
      <w:r>
        <w:t xml:space="preserve">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субсидии, установленных настоящим Порядком и соглашением, возврат субсидии в областной бюджет производится в добровольном порядке</w:t>
      </w:r>
      <w:proofErr w:type="gramEnd"/>
      <w:r>
        <w:t xml:space="preserve"> в течение одного месяца </w:t>
      </w:r>
      <w:proofErr w:type="gramStart"/>
      <w:r>
        <w:t>с даты получения</w:t>
      </w:r>
      <w:proofErr w:type="gramEnd"/>
      <w:r>
        <w:t xml:space="preserve"> письменного требования комитета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 Объем средств, подлежащий возврату в областной бюджет, определяется по формуле: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jc w:val="center"/>
      </w:pPr>
      <w:proofErr w:type="gramStart"/>
      <w:r>
        <w:t>СВ</w:t>
      </w:r>
      <w:proofErr w:type="gramEnd"/>
      <w:r>
        <w:t xml:space="preserve"> = С x (1 - T / S) x 0,1,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r>
        <w:t>где: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proofErr w:type="gramStart"/>
      <w:r>
        <w:t>СВ</w:t>
      </w:r>
      <w:proofErr w:type="gramEnd"/>
      <w:r>
        <w:t xml:space="preserve"> - объем средств, подлежащих возврату в областной бюджет;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С - объем фактически предоставленной субсидии в отчетном году;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результатов предоставления субсидии, на отчетную дату;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S - плановое значение показателя, необходимого для достижения результатов предоставления субсидии, установленное соглашением.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ind w:firstLine="540"/>
        <w:jc w:val="both"/>
      </w:pPr>
      <w:r>
        <w:t xml:space="preserve">6.5. В случае </w:t>
      </w:r>
      <w:proofErr w:type="spellStart"/>
      <w:r>
        <w:t>неперечисления</w:t>
      </w:r>
      <w:proofErr w:type="spellEnd"/>
      <w:r>
        <w:t xml:space="preserve"> получателем субсидии средств субсидии в областной бюджет </w:t>
      </w:r>
      <w:r>
        <w:lastRenderedPageBreak/>
        <w:t xml:space="preserve">в течение одного месяца </w:t>
      </w:r>
      <w:proofErr w:type="gramStart"/>
      <w:r>
        <w:t>с даты получения</w:t>
      </w:r>
      <w:proofErr w:type="gramEnd"/>
      <w:r>
        <w:t xml:space="preserve">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Федерации.</w:t>
      </w:r>
    </w:p>
    <w:p w:rsidR="00644A7C" w:rsidRDefault="00644A7C" w:rsidP="00644A7C">
      <w:pPr>
        <w:pStyle w:val="ConsPlusNormal"/>
        <w:spacing w:before="220"/>
        <w:ind w:firstLine="540"/>
        <w:jc w:val="both"/>
      </w:pPr>
      <w:r>
        <w:t>6.6. В случае нарушения срока добровольного возврата субсидии получатель субсидии уплачивает штраф в размере 0,1 процента от суммы субсидии, подлежащей возврату, за каждый день просрочки.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jc w:val="right"/>
        <w:outlineLvl w:val="2"/>
      </w:pPr>
      <w:r>
        <w:t>Приложение</w:t>
      </w:r>
    </w:p>
    <w:p w:rsidR="00644A7C" w:rsidRDefault="00644A7C" w:rsidP="00644A7C">
      <w:pPr>
        <w:pStyle w:val="ConsPlusNormal"/>
        <w:jc w:val="right"/>
      </w:pPr>
      <w:r>
        <w:t>к Порядку...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</w:pPr>
      <w:r>
        <w:t>(Форма)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jc w:val="center"/>
      </w:pPr>
      <w:bookmarkStart w:id="13" w:name="P6927"/>
      <w:bookmarkEnd w:id="13"/>
      <w:r>
        <w:t>ОТЧЕТ</w:t>
      </w:r>
    </w:p>
    <w:p w:rsidR="00644A7C" w:rsidRDefault="00644A7C" w:rsidP="00644A7C">
      <w:pPr>
        <w:pStyle w:val="ConsPlusNormal"/>
        <w:jc w:val="center"/>
      </w:pPr>
      <w:r>
        <w:t>о достижении результата предоставления субсидии</w:t>
      </w:r>
    </w:p>
    <w:p w:rsidR="00644A7C" w:rsidRDefault="00644A7C" w:rsidP="00644A7C">
      <w:pPr>
        <w:pStyle w:val="ConsPlusNormal"/>
        <w:jc w:val="center"/>
      </w:pPr>
      <w:r>
        <w:t>и показателей, необходимых для достижения результатов</w:t>
      </w:r>
    </w:p>
    <w:p w:rsidR="00644A7C" w:rsidRDefault="00644A7C" w:rsidP="00644A7C">
      <w:pPr>
        <w:pStyle w:val="ConsPlusNormal"/>
        <w:jc w:val="center"/>
      </w:pPr>
      <w:r>
        <w:t>предоставления субсидии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jc w:val="center"/>
      </w:pPr>
      <w:r>
        <w:t>1. Результат предоставления субсидии</w:t>
      </w:r>
    </w:p>
    <w:p w:rsidR="00644A7C" w:rsidRDefault="00644A7C" w:rsidP="00644A7C">
      <w:pPr>
        <w:pStyle w:val="ConsPlusNormal"/>
        <w:jc w:val="center"/>
      </w:pPr>
      <w:r>
        <w:t>____________________________________________________________</w:t>
      </w:r>
    </w:p>
    <w:p w:rsidR="00644A7C" w:rsidRDefault="00644A7C" w:rsidP="00644A7C">
      <w:pPr>
        <w:pStyle w:val="ConsPlusNormal"/>
        <w:jc w:val="center"/>
      </w:pPr>
      <w:r>
        <w:t>____________________________________________________________</w:t>
      </w:r>
    </w:p>
    <w:p w:rsidR="00644A7C" w:rsidRDefault="00644A7C" w:rsidP="00644A7C">
      <w:pPr>
        <w:pStyle w:val="ConsPlusNormal"/>
      </w:pPr>
    </w:p>
    <w:p w:rsidR="00644A7C" w:rsidRDefault="00644A7C" w:rsidP="00644A7C">
      <w:pPr>
        <w:pStyle w:val="ConsPlusNormal"/>
        <w:jc w:val="center"/>
      </w:pPr>
      <w:r>
        <w:t>2. Достижение показателей, необходимых для достижения</w:t>
      </w:r>
    </w:p>
    <w:p w:rsidR="00644A7C" w:rsidRDefault="00644A7C" w:rsidP="00644A7C">
      <w:pPr>
        <w:pStyle w:val="ConsPlusNormal"/>
        <w:jc w:val="center"/>
      </w:pPr>
      <w:r>
        <w:t>результатов предоставления субсидии</w:t>
      </w:r>
    </w:p>
    <w:p w:rsidR="00644A7C" w:rsidRDefault="00644A7C" w:rsidP="00644A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587"/>
        <w:gridCol w:w="2551"/>
        <w:gridCol w:w="2835"/>
      </w:tblGrid>
      <w:tr w:rsidR="00644A7C" w:rsidTr="00644A7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</w:t>
            </w:r>
          </w:p>
        </w:tc>
      </w:tr>
      <w:tr w:rsidR="00644A7C" w:rsidTr="00644A7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44A7C" w:rsidTr="00644A7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44A7C" w:rsidTr="00644A7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44A7C" w:rsidRDefault="00644A7C" w:rsidP="00644A7C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340"/>
        <w:gridCol w:w="1474"/>
        <w:gridCol w:w="340"/>
        <w:gridCol w:w="2098"/>
      </w:tblGrid>
      <w:tr w:rsidR="00644A7C" w:rsidTr="00644A7C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44A7C" w:rsidTr="00644A7C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 руководителя и наименование организации - получателя субсидии)</w:t>
            </w:r>
          </w:p>
        </w:tc>
        <w:tc>
          <w:tcPr>
            <w:tcW w:w="340" w:type="dxa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A7C" w:rsidRDefault="00644A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отчество)</w:t>
            </w:r>
          </w:p>
        </w:tc>
      </w:tr>
      <w:tr w:rsidR="00644A7C" w:rsidTr="00644A7C">
        <w:tc>
          <w:tcPr>
            <w:tcW w:w="4819" w:type="dxa"/>
            <w:hideMark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"__" _____________ 20__ года</w:t>
            </w:r>
          </w:p>
        </w:tc>
        <w:tc>
          <w:tcPr>
            <w:tcW w:w="340" w:type="dxa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44A7C" w:rsidTr="00644A7C">
        <w:tc>
          <w:tcPr>
            <w:tcW w:w="4819" w:type="dxa"/>
            <w:vAlign w:val="bottom"/>
            <w:hideMark/>
          </w:tcPr>
          <w:p w:rsidR="00644A7C" w:rsidRDefault="00644A7C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Место печати</w:t>
            </w:r>
          </w:p>
        </w:tc>
        <w:tc>
          <w:tcPr>
            <w:tcW w:w="4252" w:type="dxa"/>
            <w:gridSpan w:val="4"/>
          </w:tcPr>
          <w:p w:rsidR="00644A7C" w:rsidRDefault="00644A7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A30DA" w:rsidRDefault="00644A7C"/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C"/>
    <w:rsid w:val="00380F31"/>
    <w:rsid w:val="00644A7C"/>
    <w:rsid w:val="007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4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4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13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18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6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7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12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17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5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0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9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1C1999BC9C9605222C6DBF1C63B98A9434E59905DC4615CE2D01931D21562A02F3CA2C52845D9D48F56BC40xCgAK" TargetMode="External"/><Relationship Id="rId11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4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5" Type="http://schemas.openxmlformats.org/officeDocument/2006/relationships/hyperlink" Target="consultantplus://offline/ref=CE11C1999BC9C9605222C6DBF1C63B98A9404B59965BC4615CE2D01931D21562B22F64AEC42D5BD8D79A00ED069F64B8C2FB750C98E69CF7x6gDK" TargetMode="External"/><Relationship Id="rId15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3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8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10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19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14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2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27" Type="http://schemas.openxmlformats.org/officeDocument/2006/relationships/hyperlink" Target="file:///U:\&#1054;&#1058;&#1044;&#1045;&#1051;%20&#1043;&#1054;&#1057;&#1059;&#1044;&#1040;&#1056;&#1057;&#1058;&#1042;&#1045;&#1053;&#1053;&#1054;&#1049;%20&#1055;&#1054;&#1044;&#1044;&#1045;&#1056;&#1046;&#1050;&#1048;\&#1057;&#1058;&#1056;&#1054;&#1052;\&#1043;&#1086;&#1089;&#1087;&#1088;&#1086;&#1075;&#1088;&#1072;&#1084;&#1084;&#1072;\404%20&#1089;%20&#1087;&#1086;&#1089;&#1083;&#1077;&#1076;&#1085;&#1080;&#1084;&#1080;%20&#1080;&#1079;&#1084;&#1077;&#1085;&#1077;&#1085;&#1080;&#1103;&#1084;&#1080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3547</Words>
  <Characters>20218</Characters>
  <Application>Microsoft Office Word</Application>
  <DocSecurity>0</DocSecurity>
  <Lines>168</Lines>
  <Paragraphs>47</Paragraphs>
  <ScaleCrop>false</ScaleCrop>
  <Company/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2020-02-17T12:41:00Z</dcterms:created>
  <dcterms:modified xsi:type="dcterms:W3CDTF">2020-02-17T12:42:00Z</dcterms:modified>
</cp:coreProperties>
</file>