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61" w:rsidRDefault="00B33361" w:rsidP="00B33361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F37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578" w:rsidRPr="00F376E4" w:rsidRDefault="00B33361" w:rsidP="00B33361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форме федерального статистического наблюдения № 1 – контроль «Сведения об осуществлении государственного </w:t>
      </w:r>
      <w:r w:rsidRPr="00F376E4">
        <w:rPr>
          <w:rFonts w:ascii="Times New Roman" w:hAnsi="Times New Roman" w:cs="Times New Roman"/>
          <w:b/>
          <w:sz w:val="28"/>
          <w:szCs w:val="28"/>
        </w:rPr>
        <w:t>контроля (надзора)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376E4">
        <w:rPr>
          <w:rFonts w:ascii="Times New Roman" w:hAnsi="Times New Roman" w:cs="Times New Roman"/>
          <w:b/>
          <w:sz w:val="28"/>
          <w:szCs w:val="28"/>
        </w:rPr>
        <w:t xml:space="preserve"> за январь-</w:t>
      </w:r>
      <w:r w:rsidR="00643F50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F376E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C13BE">
        <w:rPr>
          <w:rFonts w:ascii="Times New Roman" w:hAnsi="Times New Roman" w:cs="Times New Roman"/>
          <w:b/>
          <w:sz w:val="28"/>
          <w:szCs w:val="28"/>
        </w:rPr>
        <w:t>9</w:t>
      </w:r>
      <w:r w:rsidRPr="00F376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0A2D" w:rsidRPr="004546BA" w:rsidRDefault="003E0A2D" w:rsidP="003E0A2D">
      <w:pPr>
        <w:pStyle w:val="a3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CA494F" w:rsidRDefault="00CA494F" w:rsidP="00CA49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B2">
        <w:rPr>
          <w:rFonts w:ascii="Times New Roman" w:hAnsi="Times New Roman" w:cs="Times New Roman"/>
          <w:b/>
          <w:sz w:val="28"/>
          <w:szCs w:val="28"/>
        </w:rPr>
        <w:t>Состояние нормативно-правового регулирования в соответствующей сфере деятельности.</w:t>
      </w:r>
    </w:p>
    <w:p w:rsidR="00EB661B" w:rsidRPr="00EB661B" w:rsidRDefault="007876B0" w:rsidP="00EB661B">
      <w:pPr>
        <w:pStyle w:val="ConsPlusNormal"/>
        <w:ind w:firstLine="540"/>
        <w:jc w:val="both"/>
      </w:pPr>
      <w:r>
        <w:t>Сфера д</w:t>
      </w:r>
      <w:r w:rsidR="00AB167D" w:rsidRPr="00AB167D">
        <w:t>еятельност</w:t>
      </w:r>
      <w:r>
        <w:t>и</w:t>
      </w:r>
      <w:r w:rsidR="00AB167D" w:rsidRPr="00AB167D">
        <w:t xml:space="preserve"> </w:t>
      </w:r>
      <w:r w:rsidR="00AB167D">
        <w:t>комитета по культуре Ленинградской области по осуществлению</w:t>
      </w:r>
      <w:r w:rsidR="00D35ABB">
        <w:t xml:space="preserve"> переданных</w:t>
      </w:r>
      <w:r w:rsidR="00AB167D">
        <w:t xml:space="preserve"> надзорных полномочий по соблюдению </w:t>
      </w:r>
      <w:r w:rsidR="000D5A97">
        <w:t xml:space="preserve">установленных </w:t>
      </w:r>
      <w:r w:rsidR="00EB661B">
        <w:t xml:space="preserve">законодательством Российской Федерации и </w:t>
      </w:r>
      <w:r w:rsidR="00EB661B" w:rsidRPr="00EB661B">
        <w:t>международными договорами Российской Федерации</w:t>
      </w:r>
      <w:r w:rsidR="00EB661B">
        <w:t xml:space="preserve"> обязательных требований </w:t>
      </w:r>
      <w:r w:rsidR="00EB661B" w:rsidRPr="00EB661B">
        <w:t>в области охраны объектов культурного наследия</w:t>
      </w:r>
      <w:r>
        <w:t xml:space="preserve"> регулируется следующими нормативно-правовыми актами:</w:t>
      </w:r>
    </w:p>
    <w:p w:rsidR="007876B0" w:rsidRPr="00D32ECD" w:rsidRDefault="007876B0" w:rsidP="007876B0">
      <w:pPr>
        <w:pStyle w:val="ConsPlusNormal"/>
        <w:ind w:firstLine="709"/>
        <w:jc w:val="both"/>
      </w:pPr>
      <w:r>
        <w:t>- ф</w:t>
      </w:r>
      <w:r w:rsidRPr="00D32ECD">
        <w:t>едеральн</w:t>
      </w:r>
      <w:r>
        <w:t>ым</w:t>
      </w:r>
      <w:r w:rsidRPr="00D32ECD">
        <w:t xml:space="preserve"> закон</w:t>
      </w:r>
      <w:r>
        <w:t>ом</w:t>
      </w:r>
      <w:r w:rsidRPr="00D32ECD"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:rsidR="007876B0" w:rsidRDefault="007876B0" w:rsidP="007876B0">
      <w:pPr>
        <w:pStyle w:val="ConsPlusNormal"/>
        <w:ind w:firstLine="709"/>
        <w:jc w:val="both"/>
      </w:pPr>
      <w:r>
        <w:t>- ф</w:t>
      </w:r>
      <w:r w:rsidRPr="00D32ECD">
        <w:t>едеральны</w:t>
      </w:r>
      <w:r>
        <w:t>м</w:t>
      </w:r>
      <w:r w:rsidRPr="00D32ECD">
        <w:t xml:space="preserve"> закон</w:t>
      </w:r>
      <w:r>
        <w:t>ом</w:t>
      </w:r>
      <w:r w:rsidRPr="00D32ECD">
        <w:t xml:space="preserve"> от 25.06.2002 года № 73-ФЗ </w:t>
      </w:r>
      <w:r>
        <w:t>«</w:t>
      </w:r>
      <w:r w:rsidRPr="00D32ECD">
        <w:t>Об объектах культурного наследия (памятниках истории и культуры) народов Российской Федерации»</w:t>
      </w:r>
      <w:r w:rsidR="00944CCF">
        <w:t xml:space="preserve"> (далее – Федеральный закон от 25.06.2002 № 73-ФЗ)</w:t>
      </w:r>
      <w:r>
        <w:t>;</w:t>
      </w:r>
    </w:p>
    <w:p w:rsidR="007876B0" w:rsidRDefault="007876B0" w:rsidP="007876B0">
      <w:pPr>
        <w:pStyle w:val="ConsPlusNormal"/>
        <w:ind w:firstLine="709"/>
        <w:jc w:val="both"/>
      </w:pPr>
      <w:r>
        <w:t>- постановлением Правительства РФ от 23.07.2015 № 740 «О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наследия»;</w:t>
      </w:r>
    </w:p>
    <w:p w:rsidR="007876B0" w:rsidRDefault="007876B0" w:rsidP="007876B0">
      <w:pPr>
        <w:pStyle w:val="ConsPlusNormal"/>
        <w:ind w:firstLine="709"/>
        <w:jc w:val="both"/>
        <w:rPr>
          <w:bCs/>
        </w:rPr>
      </w:pPr>
      <w:r>
        <w:t>- п</w:t>
      </w:r>
      <w:r>
        <w:rPr>
          <w:bCs/>
        </w:rPr>
        <w:t xml:space="preserve">риказом комитета по культуре Ленинградской области от 30.09.2015 № 01-03/15-50 «Об утверждении Перечня должностных лиц комитета по культуре Ленинградской области, уполномоченных на осуществление федерального государственного надзора за состоянием, </w:t>
      </w:r>
      <w:r w:rsidRPr="00B0289C">
        <w:t>содержанием</w:t>
      </w:r>
      <w:r>
        <w:rPr>
          <w:bCs/>
        </w:rPr>
        <w:t>, сохранением, использованием, популяризацией и государственной охраной объектов культурного наследия федерального значения (за исключением отдельных объектов культурного наследия федерального значения, включенных в перечень, установленный Правительством Российской Федерации) на те</w:t>
      </w:r>
      <w:r w:rsidR="009C13BE">
        <w:rPr>
          <w:bCs/>
        </w:rPr>
        <w:t>рритории Ленинградской области»;</w:t>
      </w:r>
    </w:p>
    <w:p w:rsidR="009C13BE" w:rsidRDefault="009C13BE" w:rsidP="007876B0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- </w:t>
      </w:r>
      <w:r w:rsidRPr="009C13BE">
        <w:rPr>
          <w:bCs/>
        </w:rPr>
        <w:t xml:space="preserve">Постановление Губернатора Ленинградской области от 17.10.2019 </w:t>
      </w:r>
      <w:r>
        <w:rPr>
          <w:bCs/>
        </w:rPr>
        <w:t>№</w:t>
      </w:r>
      <w:r w:rsidRPr="009C13BE">
        <w:rPr>
          <w:bCs/>
        </w:rPr>
        <w:t xml:space="preserve"> 76-пг </w:t>
      </w:r>
      <w:r>
        <w:rPr>
          <w:bCs/>
        </w:rPr>
        <w:t>«</w:t>
      </w:r>
      <w:r w:rsidRPr="009C13BE">
        <w:rPr>
          <w:bCs/>
        </w:rPr>
        <w:t>Об утверждении Административного регламента исполнения комитетом по культуре Ленинградской области государственной функции "Осуществление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</w:t>
      </w:r>
      <w:r>
        <w:rPr>
          <w:bCs/>
        </w:rPr>
        <w:t>)»</w:t>
      </w:r>
    </w:p>
    <w:p w:rsidR="00CB70AA" w:rsidRDefault="00CB70AA" w:rsidP="00CB70AA">
      <w:pPr>
        <w:pStyle w:val="a3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3B15B2" w:rsidRPr="00F61CB1" w:rsidRDefault="003B15B2" w:rsidP="00C078C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61CB1">
        <w:rPr>
          <w:rFonts w:ascii="Times New Roman" w:hAnsi="Times New Roman"/>
          <w:b/>
          <w:bCs/>
          <w:sz w:val="28"/>
          <w:szCs w:val="28"/>
        </w:rPr>
        <w:t>Организация государственного контроля (надзора), муниципального контроля.</w:t>
      </w:r>
    </w:p>
    <w:p w:rsidR="00DA529F" w:rsidRDefault="00DA529F" w:rsidP="00C078C9">
      <w:pPr>
        <w:pStyle w:val="ConsPlusNormal"/>
        <w:ind w:firstLine="540"/>
        <w:jc w:val="both"/>
      </w:pPr>
      <w:r>
        <w:rPr>
          <w:bCs/>
        </w:rPr>
        <w:t xml:space="preserve">Положениями пп. 3 п. 1 ст. 9.1 Федерального закона от 25.06.2002 № 73-ФЗ </w:t>
      </w:r>
      <w:r>
        <w:t xml:space="preserve">к полномочиям органов государственной власти субъектов Российской Федерации </w:t>
      </w:r>
      <w:r w:rsidR="00A85C75">
        <w:t xml:space="preserve">отнесено </w:t>
      </w:r>
      <w:r>
        <w:t xml:space="preserve">осуществление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наследия. </w:t>
      </w:r>
    </w:p>
    <w:p w:rsidR="00DA529F" w:rsidRDefault="00DA529F" w:rsidP="00DA529F">
      <w:pPr>
        <w:pStyle w:val="ConsPlusNormal"/>
        <w:ind w:firstLine="540"/>
        <w:jc w:val="both"/>
      </w:pPr>
      <w:r>
        <w:rPr>
          <w:bCs/>
        </w:rPr>
        <w:lastRenderedPageBreak/>
        <w:t>П</w:t>
      </w:r>
      <w:r w:rsidR="00F61CB1">
        <w:rPr>
          <w:bCs/>
        </w:rPr>
        <w:t xml:space="preserve">оложениями п. 1 ст. 11 Федерального закона от 25.06.2002 № 73-ФЗ </w:t>
      </w:r>
      <w:r>
        <w:t>определено понятие государственного надзора, под которым понимаются деятельность уполномоченных федерального органа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физическими лицами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объектов культурного наследия (далее - обязательные требования), посредством организации и проведения проверок указанных лиц, мероприятий по контролю за состоянием объектов культурного наследия, принятия предусмотренных законодательством Российской Федерации мер по пресечению и (или) устранению последствий выявленных нарушений, в том числе выдача обязательных для исполнения предписаний об отмене решений органов государственной власти или органов местного самоуправления, принятых с нарушением настоящего Федерального закона, или о внесении в них изменений,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 (далее - систематическое наблюдение).</w:t>
      </w:r>
    </w:p>
    <w:p w:rsidR="00F61CB1" w:rsidRDefault="00DA529F" w:rsidP="00DA529F">
      <w:pPr>
        <w:pStyle w:val="ConsPlusNormal"/>
        <w:ind w:firstLine="709"/>
        <w:jc w:val="both"/>
      </w:pPr>
      <w:r>
        <w:t xml:space="preserve">Таким образом, проверка деятельности юридических лиц и индивидуальных предпринимателей в части соблюдения ими требований, установленных </w:t>
      </w:r>
      <w:r w:rsidR="00CF3FEE">
        <w:t>Федеральным законом от 25.06.2002 № 73-ФЗ, является одним из направлений осуществляемого комитетом по культуре Ленинградской области государственного надзора.</w:t>
      </w:r>
    </w:p>
    <w:p w:rsidR="00CF3FEE" w:rsidRDefault="00CF3FEE" w:rsidP="00DA529F">
      <w:pPr>
        <w:pStyle w:val="ConsPlusNormal"/>
        <w:ind w:firstLine="709"/>
        <w:jc w:val="both"/>
      </w:pPr>
      <w:r>
        <w:t xml:space="preserve">Федеральный государственный надзор, в рамках которого, в том числе, проводятся проверки деятельности юридических лиц и индивидуальных предпринимателей, осуществляется </w:t>
      </w:r>
      <w:r w:rsidR="00A027BA">
        <w:t xml:space="preserve">отделом по осуществлению полномочий Российской Федерации в сфере объектов культурного наследия </w:t>
      </w:r>
      <w:r>
        <w:t>департамент</w:t>
      </w:r>
      <w:r w:rsidR="00A027BA">
        <w:t>а</w:t>
      </w:r>
      <w:r>
        <w:t xml:space="preserve"> государственной охраны, сохранения и использования объектов культурного наследия комитета по культуре Ленинградской области. </w:t>
      </w:r>
    </w:p>
    <w:p w:rsidR="00D32ECD" w:rsidRDefault="00CF3FEE" w:rsidP="00DA529F">
      <w:pPr>
        <w:pStyle w:val="ConsPlusNormal"/>
        <w:ind w:firstLine="709"/>
        <w:jc w:val="both"/>
      </w:pPr>
      <w:r>
        <w:t>Пунктом 2.1.4 Положения о департаменте государственной охраны, сохранения и использования объектов культурного наследия комитета по культуре Ленинградской области к функции департамента отнесен контроль за сохранением и использованием объектов культурного наследия</w:t>
      </w:r>
      <w:r w:rsidR="00D32ECD">
        <w:t xml:space="preserve">, в рамках  осуществления которого реализуются полномочия по государственному надзору, в том числе в отношении деятельности юридических лиц и индивидуальных предпринимателей в части соблюдения </w:t>
      </w:r>
      <w:r w:rsidR="00A85C75">
        <w:t>и</w:t>
      </w:r>
      <w:r w:rsidR="00D32ECD">
        <w:t>ми требований Федерального закона от 25.06.2002 № 73-ФЗ.</w:t>
      </w:r>
    </w:p>
    <w:p w:rsidR="00CF3FEE" w:rsidRDefault="00B0289C" w:rsidP="00B0289C">
      <w:pPr>
        <w:pStyle w:val="ConsPlusNormal"/>
        <w:ind w:firstLine="709"/>
        <w:jc w:val="both"/>
      </w:pPr>
      <w:r>
        <w:rPr>
          <w:bCs/>
        </w:rPr>
        <w:lastRenderedPageBreak/>
        <w:t>За отчетный период проверки деятельности юридических лиц и индивидуальных предпринимателей совместно с другими органами государственного контроля (надзора) не проводились</w:t>
      </w:r>
      <w:r w:rsidR="00CF3FEE">
        <w:t>.</w:t>
      </w:r>
    </w:p>
    <w:p w:rsidR="002E27CD" w:rsidRDefault="002E27CD" w:rsidP="00B0289C">
      <w:pPr>
        <w:pStyle w:val="ConsPlusNormal"/>
        <w:ind w:firstLine="709"/>
        <w:jc w:val="both"/>
      </w:pPr>
      <w:r>
        <w:t>Проверки деятельности юридических лиц и индивидуальных предпринимателей с привлечением подведомственных комитету по культуре Лени</w:t>
      </w:r>
      <w:r w:rsidR="007876B0">
        <w:t xml:space="preserve">нградской области организаций </w:t>
      </w:r>
      <w:r w:rsidR="00976CA0">
        <w:t>в</w:t>
      </w:r>
      <w:r w:rsidR="00A1032C">
        <w:t xml:space="preserve"> </w:t>
      </w:r>
      <w:r>
        <w:t>201</w:t>
      </w:r>
      <w:r w:rsidR="009C13BE">
        <w:t>9</w:t>
      </w:r>
      <w:r w:rsidR="00643F50">
        <w:t xml:space="preserve"> году</w:t>
      </w:r>
      <w:r w:rsidR="007876B0">
        <w:t xml:space="preserve"> </w:t>
      </w:r>
      <w:r>
        <w:t>не проводились.</w:t>
      </w:r>
    </w:p>
    <w:p w:rsidR="002E27CD" w:rsidRDefault="002E27CD" w:rsidP="00B0289C">
      <w:pPr>
        <w:pStyle w:val="ConsPlusNormal"/>
        <w:ind w:firstLine="709"/>
        <w:jc w:val="both"/>
      </w:pPr>
      <w:r>
        <w:t>Полномочиями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комитет по культуре Ленинградской области не наделен.</w:t>
      </w:r>
    </w:p>
    <w:p w:rsidR="002E27CD" w:rsidRDefault="002E27CD" w:rsidP="00B0289C">
      <w:pPr>
        <w:pStyle w:val="ConsPlusNormal"/>
        <w:ind w:firstLine="709"/>
        <w:jc w:val="both"/>
      </w:pPr>
    </w:p>
    <w:p w:rsidR="002E27CD" w:rsidRPr="002E27CD" w:rsidRDefault="002E27CD" w:rsidP="002E27CD">
      <w:pPr>
        <w:pStyle w:val="ConsPlusNormal"/>
        <w:numPr>
          <w:ilvl w:val="0"/>
          <w:numId w:val="7"/>
        </w:numPr>
        <w:jc w:val="both"/>
        <w:rPr>
          <w:b/>
        </w:rPr>
      </w:pPr>
      <w:r w:rsidRPr="002E27CD">
        <w:rPr>
          <w:b/>
        </w:rPr>
        <w:t>Финансовое и кадровое обеспечение государственного контроля (надзора), муниципального контроля</w:t>
      </w:r>
    </w:p>
    <w:p w:rsidR="003B15B2" w:rsidRDefault="00A027BA" w:rsidP="002E27CD">
      <w:pPr>
        <w:pStyle w:val="ConsPlusNormal"/>
        <w:ind w:firstLine="709"/>
        <w:jc w:val="both"/>
      </w:pPr>
      <w:r>
        <w:t xml:space="preserve">Объем </w:t>
      </w:r>
      <w:r w:rsidR="005E38D0">
        <w:t>ф</w:t>
      </w:r>
      <w:r w:rsidR="002E27CD" w:rsidRPr="002E27CD">
        <w:t>инансировани</w:t>
      </w:r>
      <w:r>
        <w:t>я</w:t>
      </w:r>
      <w:r w:rsidR="002E27CD">
        <w:t xml:space="preserve"> </w:t>
      </w:r>
      <w:r w:rsidR="005E38D0">
        <w:t xml:space="preserve">исполнения функций по осуществлению </w:t>
      </w:r>
      <w:r>
        <w:t xml:space="preserve">федерального </w:t>
      </w:r>
      <w:r w:rsidR="005E38D0">
        <w:t xml:space="preserve">государственного контроля (надзора) </w:t>
      </w:r>
      <w:r w:rsidR="00992C8F">
        <w:t>в</w:t>
      </w:r>
      <w:r>
        <w:t xml:space="preserve"> 201</w:t>
      </w:r>
      <w:r w:rsidR="009C13BE">
        <w:t>9</w:t>
      </w:r>
      <w:r>
        <w:t xml:space="preserve"> год</w:t>
      </w:r>
      <w:r w:rsidR="00992C8F">
        <w:t>у</w:t>
      </w:r>
      <w:r>
        <w:t xml:space="preserve"> составил </w:t>
      </w:r>
      <w:r w:rsidR="009C13BE">
        <w:t>11 351,526</w:t>
      </w:r>
      <w:r w:rsidR="00643F50">
        <w:t xml:space="preserve"> тыс. рублей</w:t>
      </w:r>
      <w:r w:rsidR="00572295">
        <w:t>.</w:t>
      </w:r>
      <w:r w:rsidR="00271370">
        <w:t xml:space="preserve"> </w:t>
      </w:r>
    </w:p>
    <w:p w:rsidR="005E38D0" w:rsidRDefault="005E38D0" w:rsidP="002E27CD">
      <w:pPr>
        <w:pStyle w:val="ConsPlusNormal"/>
        <w:ind w:firstLine="709"/>
        <w:jc w:val="both"/>
      </w:pPr>
      <w:r>
        <w:t xml:space="preserve">В </w:t>
      </w:r>
      <w:r w:rsidR="00A027BA">
        <w:t xml:space="preserve">отделе по осуществлению полномочий Российской Федерации в сфере объектов культурного наследия </w:t>
      </w:r>
      <w:r>
        <w:t>департамент</w:t>
      </w:r>
      <w:r w:rsidR="00A027BA">
        <w:t>а</w:t>
      </w:r>
      <w:r>
        <w:t xml:space="preserve"> государственной охраны, сохранения и использования объектов культурного наследия комитета по культуре Ленинградской области </w:t>
      </w:r>
      <w:r w:rsidR="00643F50">
        <w:t>7</w:t>
      </w:r>
      <w:r>
        <w:t xml:space="preserve"> </w:t>
      </w:r>
      <w:r w:rsidR="00D35ABB">
        <w:t>должностных лиц</w:t>
      </w:r>
      <w:r>
        <w:t xml:space="preserve"> наделены полномочиями по осуществлению функций по </w:t>
      </w:r>
      <w:r w:rsidR="00A027BA">
        <w:t>федеральному государственному надзору</w:t>
      </w:r>
      <w:r>
        <w:t xml:space="preserve">; </w:t>
      </w:r>
      <w:r w:rsidR="00957709">
        <w:t xml:space="preserve">вакантна </w:t>
      </w:r>
      <w:r w:rsidR="004F3EB2">
        <w:t xml:space="preserve">должность начальника отдела. </w:t>
      </w:r>
      <w:r>
        <w:t>Все работники, уполномоченные на осуществление контрольно-надзорных функций, имеют высшее профессиональное образование</w:t>
      </w:r>
      <w:r w:rsidR="009F6AA5">
        <w:t>; квалификация соответствует подконтрольной сфере деятельности. Эксперты и представители экспертных организаций при проведени</w:t>
      </w:r>
      <w:r w:rsidR="007876B0">
        <w:t>и</w:t>
      </w:r>
      <w:r w:rsidR="009F6AA5">
        <w:t xml:space="preserve"> контрольно-надзорных мероприятий не привлекались.</w:t>
      </w:r>
    </w:p>
    <w:p w:rsidR="009F6AA5" w:rsidRPr="00A82551" w:rsidRDefault="00F33F1A" w:rsidP="002E27CD">
      <w:pPr>
        <w:pStyle w:val="ConsPlusNormal"/>
        <w:ind w:firstLine="709"/>
        <w:jc w:val="both"/>
      </w:pPr>
      <w:r>
        <w:t xml:space="preserve">Учитывая то обстоятельство, что проверка деятельности юридически лиц и индивидуальных предпринимателей является одним из направлений государственного надзора (ст. 11 Федерального закона от 25.06.2002 № 73-ФЗ), при </w:t>
      </w:r>
      <w:r w:rsidRPr="00A82551">
        <w:t xml:space="preserve">расчете средней нагрузки на 1 работника по фактически выполненному в отчетный период объему функций по </w:t>
      </w:r>
      <w:r w:rsidR="00D35ABB" w:rsidRPr="00A82551">
        <w:t>надзору</w:t>
      </w:r>
      <w:r w:rsidRPr="00A82551">
        <w:t xml:space="preserve"> следует учитывать все проверочные мероприятия, а не только </w:t>
      </w:r>
      <w:r w:rsidR="00D35ABB" w:rsidRPr="00A82551">
        <w:t xml:space="preserve">надзорные </w:t>
      </w:r>
      <w:r w:rsidRPr="00A82551">
        <w:t>мероприятия в рамках Федерального закона № 294-ФЗ. Таким образом, средняя нагрузка на 1 работника в</w:t>
      </w:r>
      <w:r w:rsidR="00932D15" w:rsidRPr="00A82551">
        <w:t xml:space="preserve"> </w:t>
      </w:r>
      <w:r w:rsidRPr="00A82551">
        <w:t>201</w:t>
      </w:r>
      <w:r w:rsidR="009C13BE" w:rsidRPr="00A82551">
        <w:t>9</w:t>
      </w:r>
      <w:r w:rsidRPr="00A82551">
        <w:t xml:space="preserve"> го</w:t>
      </w:r>
      <w:r w:rsidR="005958D3" w:rsidRPr="00A82551">
        <w:t>д</w:t>
      </w:r>
      <w:r w:rsidR="00992C8F" w:rsidRPr="00A82551">
        <w:t>у</w:t>
      </w:r>
      <w:r w:rsidRPr="00A82551">
        <w:t xml:space="preserve"> составила </w:t>
      </w:r>
      <w:r w:rsidR="00A82551" w:rsidRPr="00A82551">
        <w:t>12</w:t>
      </w:r>
      <w:r w:rsidR="00932D15" w:rsidRPr="00A82551">
        <w:t>,3</w:t>
      </w:r>
      <w:r w:rsidRPr="00A82551">
        <w:t xml:space="preserve"> проверк</w:t>
      </w:r>
      <w:r w:rsidR="00801807" w:rsidRPr="00A82551">
        <w:t>и</w:t>
      </w:r>
      <w:r w:rsidRPr="00A82551">
        <w:t>.</w:t>
      </w:r>
    </w:p>
    <w:p w:rsidR="009F6AA5" w:rsidRPr="00A82551" w:rsidRDefault="009F6AA5" w:rsidP="00F33F1A">
      <w:pPr>
        <w:pStyle w:val="ConsPlusNormal"/>
        <w:numPr>
          <w:ilvl w:val="0"/>
          <w:numId w:val="7"/>
        </w:numPr>
        <w:ind w:left="0" w:firstLine="709"/>
        <w:jc w:val="both"/>
        <w:rPr>
          <w:b/>
        </w:rPr>
      </w:pPr>
      <w:r w:rsidRPr="00A82551">
        <w:rPr>
          <w:b/>
        </w:rPr>
        <w:t>Проведение государственного контроля (надзора), муниципального контроля.</w:t>
      </w:r>
    </w:p>
    <w:p w:rsidR="003B32C4" w:rsidRPr="00A82551" w:rsidRDefault="009F6AA5" w:rsidP="003B32C4">
      <w:pPr>
        <w:pStyle w:val="ConsPlusNormal"/>
        <w:ind w:firstLine="540"/>
        <w:jc w:val="both"/>
      </w:pPr>
      <w:r w:rsidRPr="00A82551">
        <w:t>В</w:t>
      </w:r>
      <w:r w:rsidR="00932D15" w:rsidRPr="00A82551">
        <w:t xml:space="preserve"> </w:t>
      </w:r>
      <w:r w:rsidRPr="00A82551">
        <w:t>201</w:t>
      </w:r>
      <w:r w:rsidR="00EB4603" w:rsidRPr="00A82551">
        <w:t>9</w:t>
      </w:r>
      <w:r w:rsidRPr="00A82551">
        <w:t xml:space="preserve"> год</w:t>
      </w:r>
      <w:r w:rsidR="00643F50" w:rsidRPr="00A82551">
        <w:t>у</w:t>
      </w:r>
      <w:r w:rsidRPr="00A82551">
        <w:t xml:space="preserve"> </w:t>
      </w:r>
      <w:r w:rsidR="00E362EF" w:rsidRPr="00A82551">
        <w:t xml:space="preserve">отделом по осуществлению полномочий Российской Федерации в сфере объектов культурного наследия </w:t>
      </w:r>
      <w:r w:rsidRPr="00A82551">
        <w:t>департамент</w:t>
      </w:r>
      <w:r w:rsidR="00E362EF" w:rsidRPr="00A82551">
        <w:t>а</w:t>
      </w:r>
      <w:r w:rsidRPr="00A82551">
        <w:t xml:space="preserve"> государственной охраны, сохранения и использования объектов культурного наследия комитета по культуре Ленинградской области было проведено </w:t>
      </w:r>
      <w:r w:rsidR="00A82551" w:rsidRPr="00A82551">
        <w:t>86</w:t>
      </w:r>
      <w:r w:rsidRPr="00A82551">
        <w:t xml:space="preserve"> контрольно-надзорн</w:t>
      </w:r>
      <w:r w:rsidR="003000CB" w:rsidRPr="00A82551">
        <w:t>ых</w:t>
      </w:r>
      <w:r w:rsidRPr="00A82551">
        <w:t xml:space="preserve"> мероприяти</w:t>
      </w:r>
      <w:r w:rsidR="00643F50" w:rsidRPr="00A82551">
        <w:t>я</w:t>
      </w:r>
      <w:r w:rsidRPr="00A82551">
        <w:t xml:space="preserve"> в рамках реализации полномочий по осуществлению </w:t>
      </w:r>
      <w:r w:rsidR="00E362EF" w:rsidRPr="00A82551">
        <w:t xml:space="preserve">федерального </w:t>
      </w:r>
      <w:r w:rsidRPr="00A82551">
        <w:t xml:space="preserve">государственного надзора. Из указанного числа проверочных мероприятий было проведено </w:t>
      </w:r>
      <w:r w:rsidR="00EB4603" w:rsidRPr="00A82551">
        <w:t>5</w:t>
      </w:r>
      <w:r w:rsidRPr="00A82551">
        <w:t xml:space="preserve"> провер</w:t>
      </w:r>
      <w:r w:rsidR="00EB4603" w:rsidRPr="00A82551">
        <w:t>о</w:t>
      </w:r>
      <w:r w:rsidRPr="00A82551">
        <w:t xml:space="preserve">к деятельности юридических лиц и индивидуальных предпринимателей, </w:t>
      </w:r>
      <w:r w:rsidR="00A82551" w:rsidRPr="00A82551">
        <w:t>81</w:t>
      </w:r>
      <w:r w:rsidR="00643F50" w:rsidRPr="00A82551">
        <w:t xml:space="preserve"> </w:t>
      </w:r>
      <w:r w:rsidR="003B32C4" w:rsidRPr="00A82551">
        <w:t>мероприяти</w:t>
      </w:r>
      <w:r w:rsidR="00643F50" w:rsidRPr="00A82551">
        <w:t>е</w:t>
      </w:r>
      <w:r w:rsidR="003B32C4" w:rsidRPr="00A82551">
        <w:t xml:space="preserve"> по контролю за состоянием объектов культурного наследия и систематическому наблюдению за исполнением обязательных требований.</w:t>
      </w:r>
    </w:p>
    <w:p w:rsidR="00F33F1A" w:rsidRPr="00A82551" w:rsidRDefault="009F6AA5" w:rsidP="007E5FC5">
      <w:pPr>
        <w:pStyle w:val="ConsPlusNormal"/>
        <w:ind w:firstLine="709"/>
        <w:jc w:val="both"/>
      </w:pPr>
      <w:r w:rsidRPr="00A82551">
        <w:lastRenderedPageBreak/>
        <w:t>Пр</w:t>
      </w:r>
      <w:r w:rsidR="00577D31" w:rsidRPr="00A82551">
        <w:t>и</w:t>
      </w:r>
      <w:r w:rsidRPr="00A82551">
        <w:t xml:space="preserve"> проведении проверочных мероприятий в</w:t>
      </w:r>
      <w:r w:rsidR="00B50428" w:rsidRPr="00A82551">
        <w:t xml:space="preserve"> </w:t>
      </w:r>
      <w:r w:rsidRPr="00A82551">
        <w:t>201</w:t>
      </w:r>
      <w:r w:rsidR="00EB4603" w:rsidRPr="00A82551">
        <w:t>9</w:t>
      </w:r>
      <w:r w:rsidRPr="00A82551">
        <w:t xml:space="preserve"> год</w:t>
      </w:r>
      <w:r w:rsidR="00643F50" w:rsidRPr="00A82551">
        <w:t>у</w:t>
      </w:r>
      <w:r w:rsidR="00B50428" w:rsidRPr="00A82551">
        <w:t xml:space="preserve"> </w:t>
      </w:r>
      <w:r w:rsidRPr="00A82551">
        <w:t>эксперты и экспертные организации не привлекались.</w:t>
      </w:r>
      <w:r w:rsidR="00D74A32" w:rsidRPr="00A82551">
        <w:t xml:space="preserve"> </w:t>
      </w:r>
    </w:p>
    <w:p w:rsidR="002E27CD" w:rsidRPr="00A82551" w:rsidRDefault="00F33F1A" w:rsidP="00F33F1A">
      <w:pPr>
        <w:pStyle w:val="ConsPlusNormal"/>
        <w:numPr>
          <w:ilvl w:val="0"/>
          <w:numId w:val="7"/>
        </w:numPr>
        <w:ind w:left="0" w:firstLine="709"/>
        <w:jc w:val="both"/>
        <w:rPr>
          <w:b/>
          <w:bCs/>
        </w:rPr>
      </w:pPr>
      <w:r w:rsidRPr="00A82551">
        <w:rPr>
          <w:b/>
          <w:bCs/>
        </w:rPr>
        <w:t xml:space="preserve">Действия органов государственного контроля (надзора), муниципального контроля по пресечению нарушений обязательных </w:t>
      </w:r>
      <w:r w:rsidRPr="00A82551">
        <w:rPr>
          <w:b/>
        </w:rPr>
        <w:t>требований</w:t>
      </w:r>
      <w:r w:rsidRPr="00A82551">
        <w:rPr>
          <w:b/>
          <w:bCs/>
        </w:rPr>
        <w:t xml:space="preserve"> и (или) устранению последствий таких нарушений.</w:t>
      </w:r>
    </w:p>
    <w:p w:rsidR="00F33F1A" w:rsidRPr="00A82551" w:rsidRDefault="00F33F1A" w:rsidP="00F33F1A">
      <w:pPr>
        <w:pStyle w:val="ConsPlusNormal"/>
        <w:ind w:firstLine="709"/>
        <w:jc w:val="both"/>
        <w:rPr>
          <w:bCs/>
        </w:rPr>
      </w:pPr>
      <w:r w:rsidRPr="00A82551">
        <w:t>В</w:t>
      </w:r>
      <w:r w:rsidR="00957709" w:rsidRPr="00A82551">
        <w:t xml:space="preserve"> </w:t>
      </w:r>
      <w:r w:rsidRPr="00A82551">
        <w:t>201</w:t>
      </w:r>
      <w:r w:rsidR="00EB4603" w:rsidRPr="00A82551">
        <w:t>9</w:t>
      </w:r>
      <w:r w:rsidRPr="00A82551">
        <w:t xml:space="preserve"> год</w:t>
      </w:r>
      <w:r w:rsidR="00643F50" w:rsidRPr="00A82551">
        <w:t>у</w:t>
      </w:r>
      <w:r w:rsidRPr="00A82551">
        <w:t xml:space="preserve"> юридическ</w:t>
      </w:r>
      <w:r w:rsidR="00EB4603" w:rsidRPr="00A82551">
        <w:t>ое</w:t>
      </w:r>
      <w:r w:rsidRPr="00A82551">
        <w:t xml:space="preserve"> лиц</w:t>
      </w:r>
      <w:r w:rsidR="00EB4603" w:rsidRPr="00A82551">
        <w:t>о</w:t>
      </w:r>
      <w:r w:rsidRPr="00A82551">
        <w:t xml:space="preserve"> обра</w:t>
      </w:r>
      <w:r w:rsidR="00EB4603" w:rsidRPr="00A82551">
        <w:t>тилось</w:t>
      </w:r>
      <w:r w:rsidRPr="00A82551">
        <w:t xml:space="preserve"> с заявлениями в суд об оспаривании результатов проведения в отношении них проверочных мероприятий</w:t>
      </w:r>
      <w:r w:rsidR="00EB4603" w:rsidRPr="00A82551">
        <w:t>, производство по делу осуществляется.</w:t>
      </w:r>
      <w:r w:rsidRPr="00A82551">
        <w:t xml:space="preserve"> </w:t>
      </w:r>
    </w:p>
    <w:p w:rsidR="00F33F1A" w:rsidRPr="00A82551" w:rsidRDefault="00F33F1A" w:rsidP="00F33F1A">
      <w:pPr>
        <w:pStyle w:val="ConsPlusNormal"/>
        <w:numPr>
          <w:ilvl w:val="0"/>
          <w:numId w:val="7"/>
        </w:numPr>
        <w:ind w:left="0" w:firstLine="709"/>
        <w:jc w:val="both"/>
        <w:rPr>
          <w:bCs/>
        </w:rPr>
      </w:pPr>
      <w:r w:rsidRPr="00A82551">
        <w:rPr>
          <w:b/>
          <w:bCs/>
        </w:rPr>
        <w:t>Анализ и оценка эффективности государственного контроля (надзора), муниципального контроля.</w:t>
      </w:r>
    </w:p>
    <w:p w:rsidR="001238C0" w:rsidRPr="00A82551" w:rsidRDefault="001238C0" w:rsidP="00F33F1A">
      <w:pPr>
        <w:pStyle w:val="ConsPlusNormal"/>
        <w:ind w:firstLine="709"/>
        <w:jc w:val="both"/>
      </w:pPr>
    </w:p>
    <w:p w:rsidR="001238C0" w:rsidRPr="00A82551" w:rsidRDefault="001238C0" w:rsidP="001238C0">
      <w:pPr>
        <w:pStyle w:val="ConsPlusNormal"/>
        <w:ind w:firstLine="540"/>
        <w:jc w:val="both"/>
      </w:pPr>
      <w:r w:rsidRPr="00A82551">
        <w:t>Показатели для анализа и оценки эффективности государственного контроля (надзора), муниципального контроля:</w:t>
      </w:r>
    </w:p>
    <w:p w:rsidR="001238C0" w:rsidRPr="00A82551" w:rsidRDefault="001238C0" w:rsidP="001238C0">
      <w:pPr>
        <w:pStyle w:val="ConsPlusNormal"/>
        <w:ind w:firstLine="540"/>
        <w:jc w:val="both"/>
      </w:pPr>
      <w:r w:rsidRPr="00A82551">
        <w:t xml:space="preserve">- выполнение плана проведения проверок (доля проведенных плановых проверок в процентах общего количества запланированных проверок) – </w:t>
      </w:r>
      <w:r w:rsidR="00EB4603" w:rsidRPr="00A82551">
        <w:t>10</w:t>
      </w:r>
      <w:r w:rsidR="00643F50" w:rsidRPr="00A82551">
        <w:t xml:space="preserve">0 </w:t>
      </w:r>
      <w:r w:rsidR="00830864" w:rsidRPr="00A82551">
        <w:t>%</w:t>
      </w:r>
      <w:r w:rsidRPr="00A82551">
        <w:t>;</w:t>
      </w:r>
    </w:p>
    <w:p w:rsidR="001238C0" w:rsidRPr="00A82551" w:rsidRDefault="001238C0" w:rsidP="001238C0">
      <w:pPr>
        <w:pStyle w:val="ConsPlusNormal"/>
        <w:ind w:firstLine="540"/>
        <w:jc w:val="both"/>
      </w:pPr>
      <w:r w:rsidRPr="00A82551">
        <w:t xml:space="preserve"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</w:t>
      </w:r>
      <w:r w:rsidR="00A85C75" w:rsidRPr="00A82551">
        <w:t xml:space="preserve">от </w:t>
      </w:r>
      <w:r w:rsidRPr="00A82551">
        <w:t>общего числа направленных в органы прокуратуры заявлений) – 0%;</w:t>
      </w:r>
    </w:p>
    <w:p w:rsidR="001238C0" w:rsidRPr="00A82551" w:rsidRDefault="001238C0" w:rsidP="001238C0">
      <w:pPr>
        <w:pStyle w:val="ConsPlusNormal"/>
        <w:ind w:firstLine="540"/>
        <w:jc w:val="both"/>
      </w:pPr>
      <w:r w:rsidRPr="00A82551">
        <w:t>- доля проверок, результаты которых признаны недействительными (в процентах общего числа проведенных проверок) – 0%;</w:t>
      </w:r>
    </w:p>
    <w:p w:rsidR="001238C0" w:rsidRPr="00A82551" w:rsidRDefault="001238C0" w:rsidP="001238C0">
      <w:pPr>
        <w:pStyle w:val="ConsPlusNormal"/>
        <w:ind w:firstLine="540"/>
        <w:jc w:val="both"/>
      </w:pPr>
      <w:r w:rsidRPr="00A82551">
        <w:t xml:space="preserve">- доля проверок, проведенных органами государственного контроля (надзора), муниципального контроля с нарушениями требований </w:t>
      </w:r>
      <w:hyperlink r:id="rId9" w:history="1">
        <w:r w:rsidRPr="00A82551">
          <w:t>законодательства</w:t>
        </w:r>
      </w:hyperlink>
      <w:r w:rsidRPr="00A82551">
        <w:t xml:space="preserve">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</w:t>
      </w:r>
      <w:r w:rsidR="00A85C75" w:rsidRPr="00A82551">
        <w:t xml:space="preserve">от </w:t>
      </w:r>
      <w:r w:rsidRPr="00A82551">
        <w:t>общего числа проведенных проверок) – 0%;</w:t>
      </w:r>
    </w:p>
    <w:p w:rsidR="001238C0" w:rsidRPr="00A82551" w:rsidRDefault="001238C0" w:rsidP="001238C0">
      <w:pPr>
        <w:pStyle w:val="ConsPlusNormal"/>
        <w:ind w:firstLine="540"/>
        <w:jc w:val="both"/>
      </w:pPr>
      <w:r w:rsidRPr="00A82551">
        <w:t xml:space="preserve">- 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</w:t>
      </w:r>
      <w:r w:rsidR="00A85C75" w:rsidRPr="00A82551">
        <w:t xml:space="preserve">от </w:t>
      </w:r>
      <w:r w:rsidRPr="00A82551">
        <w:t xml:space="preserve">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 – </w:t>
      </w:r>
      <w:r w:rsidR="00D02A9A" w:rsidRPr="00A82551">
        <w:t>2</w:t>
      </w:r>
      <w:r w:rsidR="00643F50" w:rsidRPr="00A82551">
        <w:t xml:space="preserve"> </w:t>
      </w:r>
      <w:r w:rsidRPr="00A82551">
        <w:t>%;</w:t>
      </w:r>
    </w:p>
    <w:p w:rsidR="001238C0" w:rsidRPr="00A82551" w:rsidRDefault="001238C0" w:rsidP="001238C0">
      <w:pPr>
        <w:pStyle w:val="ConsPlusNormal"/>
        <w:ind w:firstLine="540"/>
        <w:jc w:val="both"/>
      </w:pPr>
      <w:r w:rsidRPr="00A82551">
        <w:t>- среднее количество проверок, проведенных в отношении одного юридического лица, индивидуального предпринимателя - 1;</w:t>
      </w:r>
    </w:p>
    <w:p w:rsidR="001238C0" w:rsidRPr="00A82551" w:rsidRDefault="001238C0" w:rsidP="001238C0">
      <w:pPr>
        <w:pStyle w:val="ConsPlusNormal"/>
        <w:ind w:firstLine="540"/>
        <w:jc w:val="both"/>
      </w:pPr>
      <w:r w:rsidRPr="00A82551">
        <w:t xml:space="preserve">- доля проведенных внеплановых проверок (в процентах </w:t>
      </w:r>
      <w:r w:rsidR="00A85C75" w:rsidRPr="00A82551">
        <w:t xml:space="preserve">от </w:t>
      </w:r>
      <w:r w:rsidRPr="00A82551">
        <w:t xml:space="preserve">общего количества проведенных проверок) – </w:t>
      </w:r>
      <w:r w:rsidR="00EB4603" w:rsidRPr="00A82551">
        <w:t>6</w:t>
      </w:r>
      <w:r w:rsidR="003000CB" w:rsidRPr="00A82551">
        <w:t>0</w:t>
      </w:r>
      <w:r w:rsidRPr="00A82551">
        <w:t>%;</w:t>
      </w:r>
    </w:p>
    <w:p w:rsidR="001238C0" w:rsidRPr="00A82551" w:rsidRDefault="001238C0" w:rsidP="001238C0">
      <w:pPr>
        <w:pStyle w:val="ConsPlusNormal"/>
        <w:ind w:firstLine="540"/>
        <w:jc w:val="both"/>
      </w:pPr>
      <w:r w:rsidRPr="00A82551">
        <w:t xml:space="preserve">- доля правонарушений, выявленных по итогам проведения внеплановых проверок (в процентах </w:t>
      </w:r>
      <w:r w:rsidR="00A85C75" w:rsidRPr="00A82551">
        <w:t xml:space="preserve">от </w:t>
      </w:r>
      <w:r w:rsidRPr="00A82551">
        <w:t>общего числа правонарушений, выявленных по итогам проверок) –</w:t>
      </w:r>
      <w:r w:rsidR="00EB4603" w:rsidRPr="00A82551">
        <w:t>50</w:t>
      </w:r>
      <w:r w:rsidRPr="00A82551">
        <w:t>%;</w:t>
      </w:r>
    </w:p>
    <w:p w:rsidR="001238C0" w:rsidRPr="00A82551" w:rsidRDefault="001238C0" w:rsidP="001238C0">
      <w:pPr>
        <w:pStyle w:val="ConsPlusNormal"/>
        <w:ind w:firstLine="540"/>
        <w:jc w:val="both"/>
      </w:pPr>
      <w:r w:rsidRPr="00A82551">
        <w:t xml:space="preserve"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</w:t>
      </w:r>
      <w:r w:rsidRPr="00A82551">
        <w:lastRenderedPageBreak/>
        <w:t xml:space="preserve">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</w:t>
      </w:r>
      <w:r w:rsidR="00A85C75" w:rsidRPr="00A82551">
        <w:t xml:space="preserve">от </w:t>
      </w:r>
      <w:r w:rsidRPr="00A82551">
        <w:t>общего количества прове</w:t>
      </w:r>
      <w:r w:rsidR="00EB4603" w:rsidRPr="00A82551">
        <w:t>денных внеплановых проверок) – 66</w:t>
      </w:r>
      <w:r w:rsidRPr="00A82551">
        <w:t>%;</w:t>
      </w:r>
    </w:p>
    <w:p w:rsidR="001238C0" w:rsidRPr="00A82551" w:rsidRDefault="001238C0" w:rsidP="001238C0">
      <w:pPr>
        <w:pStyle w:val="ConsPlusNormal"/>
        <w:ind w:firstLine="540"/>
        <w:jc w:val="both"/>
      </w:pPr>
      <w:r w:rsidRPr="00A82551">
        <w:t xml:space="preserve"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</w:t>
      </w:r>
      <w:r w:rsidR="00A85C75" w:rsidRPr="00A82551">
        <w:t xml:space="preserve">от </w:t>
      </w:r>
      <w:r w:rsidRPr="00A82551">
        <w:t>общего количества проведенных внеплановых проверок) –0%;</w:t>
      </w:r>
    </w:p>
    <w:p w:rsidR="001238C0" w:rsidRPr="00A82551" w:rsidRDefault="001238C0" w:rsidP="001238C0">
      <w:pPr>
        <w:pStyle w:val="ConsPlusNormal"/>
        <w:ind w:firstLine="540"/>
        <w:jc w:val="both"/>
      </w:pPr>
      <w:r w:rsidRPr="00A82551">
        <w:t xml:space="preserve">- доля проверок, по итогам которых выявлены правонарушения (в процентах </w:t>
      </w:r>
      <w:r w:rsidR="00A85C75" w:rsidRPr="00A82551">
        <w:t xml:space="preserve">от </w:t>
      </w:r>
      <w:r w:rsidRPr="00A82551">
        <w:t xml:space="preserve">общего числа проведенных плановых и внеплановых проверок) – </w:t>
      </w:r>
      <w:r w:rsidR="00EB4603" w:rsidRPr="00A82551">
        <w:t>40</w:t>
      </w:r>
      <w:r w:rsidR="00577D31" w:rsidRPr="00A82551">
        <w:t xml:space="preserve"> </w:t>
      </w:r>
      <w:r w:rsidRPr="00A82551">
        <w:t>%;</w:t>
      </w:r>
    </w:p>
    <w:p w:rsidR="001238C0" w:rsidRPr="00A82551" w:rsidRDefault="001238C0" w:rsidP="001238C0">
      <w:pPr>
        <w:pStyle w:val="ConsPlusNormal"/>
        <w:ind w:firstLine="540"/>
        <w:jc w:val="both"/>
      </w:pPr>
      <w:r w:rsidRPr="00A82551">
        <w:t xml:space="preserve">- доля проверок, по итогам которых по результатам выявленных правонарушений были возбуждены дела об административных правонарушениях (в процентах </w:t>
      </w:r>
      <w:r w:rsidR="00A85C75" w:rsidRPr="00A82551">
        <w:t xml:space="preserve">от </w:t>
      </w:r>
      <w:r w:rsidRPr="00A82551">
        <w:t>общего числа проверок, по итогам которых были выявлены правонарушения)</w:t>
      </w:r>
      <w:r w:rsidR="00354A52" w:rsidRPr="00A82551">
        <w:t xml:space="preserve"> </w:t>
      </w:r>
      <w:r w:rsidR="00F57041" w:rsidRPr="00A82551">
        <w:t>–</w:t>
      </w:r>
      <w:r w:rsidRPr="00A82551">
        <w:t xml:space="preserve"> </w:t>
      </w:r>
      <w:r w:rsidR="00EB4603" w:rsidRPr="00A82551">
        <w:t>100</w:t>
      </w:r>
      <w:r w:rsidR="00577D31" w:rsidRPr="00A82551">
        <w:t xml:space="preserve"> </w:t>
      </w:r>
      <w:r w:rsidR="00354A52" w:rsidRPr="00A82551">
        <w:t>%</w:t>
      </w:r>
      <w:r w:rsidRPr="00A82551">
        <w:t>;</w:t>
      </w:r>
    </w:p>
    <w:p w:rsidR="001238C0" w:rsidRPr="00A82551" w:rsidRDefault="00354A52" w:rsidP="001238C0">
      <w:pPr>
        <w:pStyle w:val="ConsPlusNormal"/>
        <w:ind w:firstLine="540"/>
        <w:jc w:val="both"/>
      </w:pPr>
      <w:r w:rsidRPr="00A82551">
        <w:t xml:space="preserve">- </w:t>
      </w:r>
      <w:r w:rsidR="001238C0" w:rsidRPr="00A82551">
        <w:t xml:space="preserve">доля проверок, по итогам которых по фактам выявленных нарушений наложены административные наказания (в процентах </w:t>
      </w:r>
      <w:r w:rsidR="00A85C75" w:rsidRPr="00A82551">
        <w:t xml:space="preserve">от </w:t>
      </w:r>
      <w:r w:rsidR="001238C0" w:rsidRPr="00A82551">
        <w:t>общего числа проверок, по итогам которых по результатам выявленных правонарушений возбуждены дела об административных правонарушениях)</w:t>
      </w:r>
      <w:r w:rsidR="00EB4603" w:rsidRPr="00A82551">
        <w:t xml:space="preserve"> –50 </w:t>
      </w:r>
      <w:r w:rsidRPr="00A82551">
        <w:t>%</w:t>
      </w:r>
      <w:r w:rsidR="001238C0" w:rsidRPr="00A82551">
        <w:t>;</w:t>
      </w:r>
    </w:p>
    <w:p w:rsidR="001238C0" w:rsidRPr="00A82551" w:rsidRDefault="00354A52" w:rsidP="001238C0">
      <w:pPr>
        <w:pStyle w:val="ConsPlusNormal"/>
        <w:ind w:firstLine="540"/>
        <w:jc w:val="both"/>
      </w:pPr>
      <w:r w:rsidRPr="00A82551">
        <w:t xml:space="preserve">- </w:t>
      </w:r>
      <w:r w:rsidR="001238C0" w:rsidRPr="00A82551"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</w:t>
      </w:r>
      <w:r w:rsidR="00A85C75" w:rsidRPr="00A82551">
        <w:t xml:space="preserve">от </w:t>
      </w:r>
      <w:r w:rsidR="001238C0" w:rsidRPr="00A82551">
        <w:t>общего числа проверенных лиц)</w:t>
      </w:r>
      <w:r w:rsidRPr="00A82551">
        <w:t xml:space="preserve"> – </w:t>
      </w:r>
      <w:r w:rsidR="00EB4603" w:rsidRPr="00A82551">
        <w:t>20</w:t>
      </w:r>
      <w:r w:rsidRPr="00A82551">
        <w:t>%</w:t>
      </w:r>
      <w:r w:rsidR="001238C0" w:rsidRPr="00A82551">
        <w:t>;</w:t>
      </w:r>
    </w:p>
    <w:p w:rsidR="001238C0" w:rsidRPr="00A82551" w:rsidRDefault="00354A52" w:rsidP="001238C0">
      <w:pPr>
        <w:pStyle w:val="ConsPlusNormal"/>
        <w:ind w:firstLine="540"/>
        <w:jc w:val="both"/>
      </w:pPr>
      <w:r w:rsidRPr="00A82551">
        <w:t xml:space="preserve">- </w:t>
      </w:r>
      <w:r w:rsidR="001238C0" w:rsidRPr="00A82551"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</w:t>
      </w:r>
      <w:r w:rsidR="00A85C75" w:rsidRPr="00A82551">
        <w:t xml:space="preserve">от </w:t>
      </w:r>
      <w:r w:rsidR="001238C0" w:rsidRPr="00A82551">
        <w:t>общего числа проверенных лиц)</w:t>
      </w:r>
      <w:r w:rsidRPr="00A82551">
        <w:t xml:space="preserve"> – </w:t>
      </w:r>
      <w:r w:rsidR="00F57041" w:rsidRPr="00A82551">
        <w:t>0</w:t>
      </w:r>
      <w:r w:rsidRPr="00A82551">
        <w:t>%</w:t>
      </w:r>
      <w:r w:rsidR="001238C0" w:rsidRPr="00A82551">
        <w:t>;</w:t>
      </w:r>
    </w:p>
    <w:p w:rsidR="001238C0" w:rsidRPr="00A82551" w:rsidRDefault="00354A52" w:rsidP="001238C0">
      <w:pPr>
        <w:pStyle w:val="ConsPlusNormal"/>
        <w:ind w:firstLine="540"/>
        <w:jc w:val="both"/>
      </w:pPr>
      <w:r w:rsidRPr="00A82551">
        <w:t xml:space="preserve">- </w:t>
      </w:r>
      <w:r w:rsidR="001238C0" w:rsidRPr="00A82551"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  <w:r w:rsidRPr="00A82551">
        <w:t xml:space="preserve"> - </w:t>
      </w:r>
      <w:r w:rsidR="00431A20" w:rsidRPr="00A82551">
        <w:t>0</w:t>
      </w:r>
      <w:r w:rsidR="001238C0" w:rsidRPr="00A82551">
        <w:t>;</w:t>
      </w:r>
    </w:p>
    <w:p w:rsidR="001238C0" w:rsidRPr="00A82551" w:rsidRDefault="00354A52" w:rsidP="001238C0">
      <w:pPr>
        <w:pStyle w:val="ConsPlusNormal"/>
        <w:ind w:firstLine="540"/>
        <w:jc w:val="both"/>
      </w:pPr>
      <w:r w:rsidRPr="00A82551">
        <w:lastRenderedPageBreak/>
        <w:t xml:space="preserve">- </w:t>
      </w:r>
      <w:r w:rsidR="001238C0" w:rsidRPr="00A82551">
        <w:t xml:space="preserve">доля выявленных при проведении проверок правонарушений, связанных с неисполнением предписаний (в процентах </w:t>
      </w:r>
      <w:r w:rsidR="00A85C75" w:rsidRPr="00A82551">
        <w:t xml:space="preserve">от </w:t>
      </w:r>
      <w:r w:rsidR="001238C0" w:rsidRPr="00A82551">
        <w:t>общего числа выявленных правонарушений)</w:t>
      </w:r>
      <w:r w:rsidRPr="00A82551">
        <w:t xml:space="preserve"> – </w:t>
      </w:r>
      <w:r w:rsidR="00EB4603" w:rsidRPr="00A82551">
        <w:t xml:space="preserve">50 </w:t>
      </w:r>
      <w:r w:rsidRPr="00A82551">
        <w:t>%</w:t>
      </w:r>
      <w:r w:rsidR="001238C0" w:rsidRPr="00A82551">
        <w:t>;</w:t>
      </w:r>
    </w:p>
    <w:p w:rsidR="001238C0" w:rsidRPr="00A82551" w:rsidRDefault="00354A52" w:rsidP="001238C0">
      <w:pPr>
        <w:pStyle w:val="ConsPlusNormal"/>
        <w:ind w:firstLine="540"/>
        <w:jc w:val="both"/>
      </w:pPr>
      <w:r w:rsidRPr="00A82551">
        <w:t xml:space="preserve">- </w:t>
      </w:r>
      <w:r w:rsidR="001238C0" w:rsidRPr="00A82551">
        <w:t>отношение суммы взысканных административных штрафов к общей сумме наложенных административных штрафов (в процентах)</w:t>
      </w:r>
      <w:r w:rsidRPr="00A82551">
        <w:t xml:space="preserve"> – </w:t>
      </w:r>
      <w:r w:rsidR="00431A20" w:rsidRPr="00A82551">
        <w:t>0</w:t>
      </w:r>
      <w:r w:rsidRPr="00A82551">
        <w:t>%</w:t>
      </w:r>
      <w:r w:rsidR="001238C0" w:rsidRPr="00A82551">
        <w:t>;</w:t>
      </w:r>
    </w:p>
    <w:p w:rsidR="001238C0" w:rsidRPr="00A82551" w:rsidRDefault="00354A52" w:rsidP="001238C0">
      <w:pPr>
        <w:pStyle w:val="ConsPlusNormal"/>
        <w:ind w:firstLine="540"/>
        <w:jc w:val="both"/>
      </w:pPr>
      <w:r w:rsidRPr="00A82551">
        <w:t xml:space="preserve">- </w:t>
      </w:r>
      <w:r w:rsidR="001238C0" w:rsidRPr="00A82551">
        <w:t>средний размер наложенного административного штрафа в том числе на должностных лиц и юридических лиц (в тыс. рублей)</w:t>
      </w:r>
      <w:r w:rsidRPr="00A82551">
        <w:t xml:space="preserve"> – </w:t>
      </w:r>
      <w:r w:rsidR="00EB4603" w:rsidRPr="00A82551">
        <w:t>200</w:t>
      </w:r>
      <w:r w:rsidR="001238C0" w:rsidRPr="00A82551">
        <w:t>;</w:t>
      </w:r>
    </w:p>
    <w:p w:rsidR="001238C0" w:rsidRPr="00A82551" w:rsidRDefault="00354A52" w:rsidP="001238C0">
      <w:pPr>
        <w:pStyle w:val="ConsPlusNormal"/>
        <w:ind w:firstLine="540"/>
        <w:jc w:val="both"/>
      </w:pPr>
      <w:r w:rsidRPr="00A82551">
        <w:t xml:space="preserve">- </w:t>
      </w:r>
      <w:r w:rsidR="001238C0" w:rsidRPr="00A82551">
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</w:t>
      </w:r>
      <w:r w:rsidR="00A85C75" w:rsidRPr="00A82551">
        <w:t xml:space="preserve">от </w:t>
      </w:r>
      <w:r w:rsidR="001238C0" w:rsidRPr="00A82551">
        <w:t>общего количества проверок, в результате которых выявлены нарушения обязательных требований)</w:t>
      </w:r>
      <w:r w:rsidRPr="00A82551">
        <w:t xml:space="preserve"> – 0%</w:t>
      </w:r>
      <w:r w:rsidR="001238C0" w:rsidRPr="00A82551">
        <w:t>.</w:t>
      </w:r>
    </w:p>
    <w:p w:rsidR="001238C0" w:rsidRPr="00A82551" w:rsidRDefault="001238C0" w:rsidP="00F33F1A">
      <w:pPr>
        <w:pStyle w:val="ConsPlusNormal"/>
        <w:ind w:firstLine="709"/>
        <w:jc w:val="both"/>
        <w:rPr>
          <w:bCs/>
        </w:rPr>
      </w:pPr>
    </w:p>
    <w:p w:rsidR="00354A52" w:rsidRPr="00A82551" w:rsidRDefault="00354A52" w:rsidP="00354A52">
      <w:pPr>
        <w:pStyle w:val="ConsPlusNormal"/>
        <w:numPr>
          <w:ilvl w:val="0"/>
          <w:numId w:val="7"/>
        </w:numPr>
        <w:jc w:val="both"/>
        <w:rPr>
          <w:b/>
          <w:bCs/>
        </w:rPr>
      </w:pPr>
      <w:r w:rsidRPr="00A82551">
        <w:rPr>
          <w:b/>
          <w:bCs/>
        </w:rPr>
        <w:t>Выводы и предложения по результатам государственного контроля (надзора), муниципального контроля</w:t>
      </w:r>
    </w:p>
    <w:p w:rsidR="00354A52" w:rsidRDefault="00354A52" w:rsidP="00354A52">
      <w:pPr>
        <w:pStyle w:val="ConsPlusNormal"/>
        <w:ind w:firstLine="540"/>
        <w:jc w:val="both"/>
      </w:pPr>
      <w:r w:rsidRPr="00A82551">
        <w:t xml:space="preserve">Учитывая специфику подконтрольной комитету по культуре Ленинградской области сферы в совокупности с положениями ст. ст. 9.1, 11 Федерального закона от 25.06.2002 № 73-ФЗ 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методике подготовки пояснительной записки по итогам </w:t>
      </w:r>
      <w:r w:rsidR="00C078C9" w:rsidRPr="00A82551">
        <w:t xml:space="preserve">деятельности за год по </w:t>
      </w:r>
      <w:r w:rsidRPr="00A82551">
        <w:t>осуществлени</w:t>
      </w:r>
      <w:r w:rsidR="00C078C9" w:rsidRPr="00A82551">
        <w:t>ю</w:t>
      </w:r>
      <w:r w:rsidRPr="00A82551">
        <w:t xml:space="preserve"> государственного контроля (надзора) и муниципального контроля</w:t>
      </w:r>
      <w:r w:rsidR="00C078C9" w:rsidRPr="00A82551">
        <w:t>, а также в самой форме статистической отчетности необходимо предусмотреть возможность указания как проверочных мероприятий деятельности юридических</w:t>
      </w:r>
      <w:r w:rsidR="00C078C9">
        <w:t xml:space="preserve"> лиц и индивидуальных предпринимателей, так и контрольно-надзорные мероприятия за состоянием объектов культурного наследия, которые проводятся без учета положений </w:t>
      </w:r>
      <w:r w:rsidR="00C078C9" w:rsidRPr="00354A52">
        <w:t>Федерального закона от 26.12.2008 года № 294-ФЗ</w:t>
      </w:r>
      <w:r w:rsidR="00C078C9">
        <w:t>, но по результатам которых юридические лица и индивидуальные предприниматели также могут быть привлечены к ответственности за нарушение установленных федеральным законодательством обязательных требований при осуществлении своей деятельности.</w:t>
      </w:r>
    </w:p>
    <w:p w:rsidR="00C078C9" w:rsidRDefault="00C078C9" w:rsidP="00354A52">
      <w:pPr>
        <w:pStyle w:val="ConsPlusNormal"/>
        <w:ind w:firstLine="540"/>
        <w:jc w:val="both"/>
      </w:pPr>
    </w:p>
    <w:p w:rsidR="00F376E4" w:rsidRDefault="00F376E4" w:rsidP="00354A52">
      <w:pPr>
        <w:pStyle w:val="ConsPlusNormal"/>
        <w:ind w:firstLine="540"/>
        <w:jc w:val="both"/>
      </w:pPr>
    </w:p>
    <w:p w:rsidR="002D7449" w:rsidRDefault="002D7449" w:rsidP="002D7449">
      <w:pPr>
        <w:pStyle w:val="ConsPlusNormal"/>
        <w:ind w:firstLine="540"/>
        <w:jc w:val="both"/>
      </w:pPr>
    </w:p>
    <w:p w:rsidR="002D7449" w:rsidRDefault="002D7449" w:rsidP="002D74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комитета </w:t>
      </w:r>
    </w:p>
    <w:p w:rsidR="002D7449" w:rsidRDefault="002D7449" w:rsidP="002D74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культуре Ленинградской области - </w:t>
      </w:r>
    </w:p>
    <w:p w:rsidR="002D7449" w:rsidRDefault="002D7449" w:rsidP="002D74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департамента государственной </w:t>
      </w:r>
    </w:p>
    <w:p w:rsidR="002D7449" w:rsidRDefault="002D7449" w:rsidP="002D74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охраны, сохранения и использования           </w:t>
      </w:r>
    </w:p>
    <w:p w:rsidR="002D7449" w:rsidRDefault="002D7449" w:rsidP="002D74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культурного наследия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А.Н. Карлов</w:t>
      </w:r>
    </w:p>
    <w:p w:rsidR="002D7449" w:rsidRDefault="002D7449" w:rsidP="002D7449">
      <w:pPr>
        <w:pStyle w:val="ConsPlusNormal"/>
        <w:jc w:val="both"/>
      </w:pPr>
    </w:p>
    <w:p w:rsidR="00C078C9" w:rsidRPr="00354A52" w:rsidRDefault="00C078C9" w:rsidP="002D7449">
      <w:pPr>
        <w:spacing w:after="0"/>
        <w:jc w:val="both"/>
      </w:pPr>
      <w:bookmarkStart w:id="0" w:name="_GoBack"/>
      <w:bookmarkEnd w:id="0"/>
    </w:p>
    <w:sectPr w:rsidR="00C078C9" w:rsidRPr="00354A52" w:rsidSect="00C509AB">
      <w:footerReference w:type="default" r:id="rId10"/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65" w:rsidRDefault="00475365" w:rsidP="00B33361">
      <w:pPr>
        <w:spacing w:after="0" w:line="240" w:lineRule="auto"/>
      </w:pPr>
      <w:r>
        <w:separator/>
      </w:r>
    </w:p>
  </w:endnote>
  <w:endnote w:type="continuationSeparator" w:id="0">
    <w:p w:rsidR="00475365" w:rsidRDefault="00475365" w:rsidP="00B3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895940"/>
      <w:docPartObj>
        <w:docPartGallery w:val="Page Numbers (Bottom of Page)"/>
        <w:docPartUnique/>
      </w:docPartObj>
    </w:sdtPr>
    <w:sdtEndPr/>
    <w:sdtContent>
      <w:p w:rsidR="00B33361" w:rsidRDefault="00B333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449">
          <w:rPr>
            <w:noProof/>
          </w:rPr>
          <w:t>6</w:t>
        </w:r>
        <w:r>
          <w:fldChar w:fldCharType="end"/>
        </w:r>
      </w:p>
    </w:sdtContent>
  </w:sdt>
  <w:p w:rsidR="00B33361" w:rsidRDefault="00B333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65" w:rsidRDefault="00475365" w:rsidP="00B33361">
      <w:pPr>
        <w:spacing w:after="0" w:line="240" w:lineRule="auto"/>
      </w:pPr>
      <w:r>
        <w:separator/>
      </w:r>
    </w:p>
  </w:footnote>
  <w:footnote w:type="continuationSeparator" w:id="0">
    <w:p w:rsidR="00475365" w:rsidRDefault="00475365" w:rsidP="00B33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075"/>
    <w:multiLevelType w:val="hybridMultilevel"/>
    <w:tmpl w:val="C5DE8ED8"/>
    <w:lvl w:ilvl="0" w:tplc="8236B2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E35491"/>
    <w:multiLevelType w:val="hybridMultilevel"/>
    <w:tmpl w:val="7A8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7D2A"/>
    <w:multiLevelType w:val="hybridMultilevel"/>
    <w:tmpl w:val="FA982740"/>
    <w:lvl w:ilvl="0" w:tplc="488C9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741"/>
    <w:multiLevelType w:val="singleLevel"/>
    <w:tmpl w:val="91D2B9EA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91B5E06"/>
    <w:multiLevelType w:val="hybridMultilevel"/>
    <w:tmpl w:val="C5DE8ED8"/>
    <w:lvl w:ilvl="0" w:tplc="8236B2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DC623A"/>
    <w:multiLevelType w:val="hybridMultilevel"/>
    <w:tmpl w:val="0E10C11C"/>
    <w:lvl w:ilvl="0" w:tplc="C9D816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B4889"/>
    <w:multiLevelType w:val="hybridMultilevel"/>
    <w:tmpl w:val="9CD6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64"/>
    <w:rsid w:val="00016968"/>
    <w:rsid w:val="000865DB"/>
    <w:rsid w:val="00096228"/>
    <w:rsid w:val="00097C26"/>
    <w:rsid w:val="000B7F5C"/>
    <w:rsid w:val="000D5A97"/>
    <w:rsid w:val="000E64E6"/>
    <w:rsid w:val="0012106C"/>
    <w:rsid w:val="001238C0"/>
    <w:rsid w:val="001265D1"/>
    <w:rsid w:val="0013275F"/>
    <w:rsid w:val="00134BAA"/>
    <w:rsid w:val="00145C27"/>
    <w:rsid w:val="00154C24"/>
    <w:rsid w:val="001951D2"/>
    <w:rsid w:val="001B1CA5"/>
    <w:rsid w:val="00206A6F"/>
    <w:rsid w:val="0020714E"/>
    <w:rsid w:val="002406BC"/>
    <w:rsid w:val="002417AB"/>
    <w:rsid w:val="00261BC7"/>
    <w:rsid w:val="00271370"/>
    <w:rsid w:val="002A2C87"/>
    <w:rsid w:val="002C66F6"/>
    <w:rsid w:val="002D7449"/>
    <w:rsid w:val="002E27CD"/>
    <w:rsid w:val="002E484A"/>
    <w:rsid w:val="003000CB"/>
    <w:rsid w:val="0032220D"/>
    <w:rsid w:val="00354517"/>
    <w:rsid w:val="00354A52"/>
    <w:rsid w:val="003672BF"/>
    <w:rsid w:val="00370FCD"/>
    <w:rsid w:val="00374524"/>
    <w:rsid w:val="0039431F"/>
    <w:rsid w:val="003A6C54"/>
    <w:rsid w:val="003B15B2"/>
    <w:rsid w:val="003B32C4"/>
    <w:rsid w:val="003D4453"/>
    <w:rsid w:val="003E0A2D"/>
    <w:rsid w:val="00417D66"/>
    <w:rsid w:val="00431A20"/>
    <w:rsid w:val="004546BA"/>
    <w:rsid w:val="00475365"/>
    <w:rsid w:val="004B3D36"/>
    <w:rsid w:val="004C0364"/>
    <w:rsid w:val="004C40F2"/>
    <w:rsid w:val="004F3EB2"/>
    <w:rsid w:val="00572295"/>
    <w:rsid w:val="00577D31"/>
    <w:rsid w:val="00587BF4"/>
    <w:rsid w:val="0059506F"/>
    <w:rsid w:val="005958D3"/>
    <w:rsid w:val="005A1341"/>
    <w:rsid w:val="005C3804"/>
    <w:rsid w:val="005E3392"/>
    <w:rsid w:val="005E38D0"/>
    <w:rsid w:val="00611D6C"/>
    <w:rsid w:val="00643F50"/>
    <w:rsid w:val="00650C95"/>
    <w:rsid w:val="0066242E"/>
    <w:rsid w:val="006E1E0C"/>
    <w:rsid w:val="007836B1"/>
    <w:rsid w:val="00787215"/>
    <w:rsid w:val="007876B0"/>
    <w:rsid w:val="007C3134"/>
    <w:rsid w:val="007C6F29"/>
    <w:rsid w:val="007C74DA"/>
    <w:rsid w:val="007E5FC5"/>
    <w:rsid w:val="00801807"/>
    <w:rsid w:val="00830864"/>
    <w:rsid w:val="0085001E"/>
    <w:rsid w:val="008614D3"/>
    <w:rsid w:val="00864642"/>
    <w:rsid w:val="008D5EDB"/>
    <w:rsid w:val="00917B96"/>
    <w:rsid w:val="009206EA"/>
    <w:rsid w:val="00932D15"/>
    <w:rsid w:val="00944CCF"/>
    <w:rsid w:val="00957709"/>
    <w:rsid w:val="00963604"/>
    <w:rsid w:val="00964236"/>
    <w:rsid w:val="00974311"/>
    <w:rsid w:val="00976CA0"/>
    <w:rsid w:val="00985D8F"/>
    <w:rsid w:val="00992C8F"/>
    <w:rsid w:val="00995BB4"/>
    <w:rsid w:val="009C0F82"/>
    <w:rsid w:val="009C13BE"/>
    <w:rsid w:val="009F6AA5"/>
    <w:rsid w:val="00A027BA"/>
    <w:rsid w:val="00A05F95"/>
    <w:rsid w:val="00A1032C"/>
    <w:rsid w:val="00A270F6"/>
    <w:rsid w:val="00A55592"/>
    <w:rsid w:val="00A7401D"/>
    <w:rsid w:val="00A82551"/>
    <w:rsid w:val="00A85C75"/>
    <w:rsid w:val="00AB167D"/>
    <w:rsid w:val="00AC37F0"/>
    <w:rsid w:val="00AD4CC3"/>
    <w:rsid w:val="00B0289C"/>
    <w:rsid w:val="00B10C2A"/>
    <w:rsid w:val="00B321B0"/>
    <w:rsid w:val="00B33361"/>
    <w:rsid w:val="00B50428"/>
    <w:rsid w:val="00B74B80"/>
    <w:rsid w:val="00BC5228"/>
    <w:rsid w:val="00BD41F4"/>
    <w:rsid w:val="00BE3231"/>
    <w:rsid w:val="00BF6D6F"/>
    <w:rsid w:val="00C078C9"/>
    <w:rsid w:val="00C41C47"/>
    <w:rsid w:val="00C509AB"/>
    <w:rsid w:val="00C54D22"/>
    <w:rsid w:val="00C558F5"/>
    <w:rsid w:val="00CA494F"/>
    <w:rsid w:val="00CB70AA"/>
    <w:rsid w:val="00CC2050"/>
    <w:rsid w:val="00CC556D"/>
    <w:rsid w:val="00CD0A23"/>
    <w:rsid w:val="00CF3FEE"/>
    <w:rsid w:val="00D02A9A"/>
    <w:rsid w:val="00D32ECD"/>
    <w:rsid w:val="00D35ABB"/>
    <w:rsid w:val="00D7047B"/>
    <w:rsid w:val="00D746E8"/>
    <w:rsid w:val="00D74A32"/>
    <w:rsid w:val="00D81AD0"/>
    <w:rsid w:val="00DA529F"/>
    <w:rsid w:val="00DE12AE"/>
    <w:rsid w:val="00DE467A"/>
    <w:rsid w:val="00E309FD"/>
    <w:rsid w:val="00E362EF"/>
    <w:rsid w:val="00E43080"/>
    <w:rsid w:val="00E91A63"/>
    <w:rsid w:val="00EA38F1"/>
    <w:rsid w:val="00EB4603"/>
    <w:rsid w:val="00EB661B"/>
    <w:rsid w:val="00F01EF3"/>
    <w:rsid w:val="00F33F1A"/>
    <w:rsid w:val="00F376E4"/>
    <w:rsid w:val="00F41109"/>
    <w:rsid w:val="00F57041"/>
    <w:rsid w:val="00F61CB1"/>
    <w:rsid w:val="00FB7E92"/>
    <w:rsid w:val="00FC6988"/>
    <w:rsid w:val="00FC699E"/>
    <w:rsid w:val="00FD76B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546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546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uiPriority w:val="99"/>
    <w:rsid w:val="004546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1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3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361"/>
  </w:style>
  <w:style w:type="paragraph" w:styleId="a9">
    <w:name w:val="footer"/>
    <w:basedOn w:val="a"/>
    <w:link w:val="aa"/>
    <w:uiPriority w:val="99"/>
    <w:unhideWhenUsed/>
    <w:rsid w:val="00B3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546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546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uiPriority w:val="99"/>
    <w:rsid w:val="004546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1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3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361"/>
  </w:style>
  <w:style w:type="paragraph" w:styleId="a9">
    <w:name w:val="footer"/>
    <w:basedOn w:val="a"/>
    <w:link w:val="aa"/>
    <w:uiPriority w:val="99"/>
    <w:unhideWhenUsed/>
    <w:rsid w:val="00B3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3E1FF7C0EC9E591E67C315DF6D02C16C97942271C4A7AA505749D7663At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E8F2-ECBF-48FC-A7AE-333AEA10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Юрий Игоревич Юруть</cp:lastModifiedBy>
  <cp:revision>4</cp:revision>
  <cp:lastPrinted>2019-01-15T07:06:00Z</cp:lastPrinted>
  <dcterms:created xsi:type="dcterms:W3CDTF">2019-12-30T11:14:00Z</dcterms:created>
  <dcterms:modified xsi:type="dcterms:W3CDTF">2019-12-30T11:46:00Z</dcterms:modified>
</cp:coreProperties>
</file>